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029D9" w14:textId="77777777" w:rsidR="004B7969" w:rsidRPr="00B2226A" w:rsidRDefault="004B7969" w:rsidP="004B7969">
      <w:pPr>
        <w:pStyle w:val="NoSpacing"/>
        <w:rPr>
          <w:rFonts w:ascii="Arial" w:hAnsi="Arial" w:cs="Arial"/>
          <w:b/>
          <w:bCs/>
          <w:sz w:val="28"/>
          <w:szCs w:val="28"/>
          <w:lang w:val="en-CA"/>
        </w:rPr>
      </w:pPr>
    </w:p>
    <w:p w14:paraId="00B2276D" w14:textId="77777777" w:rsidR="004B7969" w:rsidRPr="00B2226A" w:rsidRDefault="004B7969" w:rsidP="004B7969">
      <w:pPr>
        <w:pStyle w:val="NoSpacing"/>
        <w:rPr>
          <w:rFonts w:ascii="Arial" w:hAnsi="Arial" w:cs="Arial"/>
          <w:b/>
          <w:bCs/>
          <w:sz w:val="28"/>
          <w:szCs w:val="28"/>
          <w:lang w:val="en-CA"/>
        </w:rPr>
      </w:pPr>
    </w:p>
    <w:p w14:paraId="4D9F3FE9" w14:textId="77777777" w:rsidR="004B7969" w:rsidRPr="00B2226A" w:rsidRDefault="004B7969" w:rsidP="004B7969">
      <w:pPr>
        <w:pStyle w:val="NoSpacing"/>
        <w:rPr>
          <w:rFonts w:ascii="Arial" w:hAnsi="Arial" w:cs="Arial"/>
          <w:b/>
          <w:bCs/>
          <w:i/>
          <w:iCs/>
          <w:sz w:val="28"/>
          <w:szCs w:val="28"/>
          <w:lang w:val="en-CA"/>
        </w:rPr>
      </w:pPr>
    </w:p>
    <w:p w14:paraId="7163BA24" w14:textId="77777777" w:rsidR="004B7969" w:rsidRPr="00B2226A" w:rsidRDefault="004B7969" w:rsidP="004B7969">
      <w:pPr>
        <w:pStyle w:val="NoSpacing"/>
        <w:rPr>
          <w:rFonts w:ascii="Arial" w:hAnsi="Arial" w:cs="Arial"/>
          <w:b/>
          <w:bCs/>
          <w:sz w:val="28"/>
          <w:szCs w:val="28"/>
          <w:lang w:val="en-CA"/>
        </w:rPr>
      </w:pPr>
    </w:p>
    <w:p w14:paraId="19E8DCFC" w14:textId="77777777" w:rsidR="004B7969" w:rsidRPr="00B2226A" w:rsidRDefault="004B7969" w:rsidP="004B7969">
      <w:pPr>
        <w:pStyle w:val="NoSpacing"/>
        <w:rPr>
          <w:rFonts w:ascii="Arial" w:hAnsi="Arial" w:cs="Arial"/>
          <w:b/>
          <w:bCs/>
          <w:sz w:val="28"/>
          <w:szCs w:val="28"/>
          <w:lang w:val="en-CA"/>
        </w:rPr>
      </w:pPr>
    </w:p>
    <w:p w14:paraId="15726439" w14:textId="77777777" w:rsidR="004B7969" w:rsidRPr="00B2226A" w:rsidRDefault="004B7969" w:rsidP="004B7969">
      <w:pPr>
        <w:pStyle w:val="NoSpacing"/>
        <w:rPr>
          <w:rFonts w:ascii="Arial" w:hAnsi="Arial" w:cs="Arial"/>
          <w:b/>
          <w:bCs/>
          <w:sz w:val="28"/>
          <w:szCs w:val="28"/>
          <w:lang w:val="en-CA"/>
        </w:rPr>
      </w:pPr>
    </w:p>
    <w:p w14:paraId="03A058D7" w14:textId="6666A6EF" w:rsidR="004B7969" w:rsidRPr="00995419" w:rsidRDefault="00995419" w:rsidP="00995419">
      <w:pPr>
        <w:pStyle w:val="NoSpacing"/>
        <w:jc w:val="center"/>
        <w:rPr>
          <w:rFonts w:ascii="Arial" w:hAnsi="Arial" w:cs="Arial"/>
          <w:b/>
          <w:bCs/>
          <w:sz w:val="32"/>
          <w:szCs w:val="32"/>
          <w:lang w:val="fr-CA"/>
        </w:rPr>
      </w:pPr>
      <w:r w:rsidRPr="00995419">
        <w:rPr>
          <w:rFonts w:ascii="Arial" w:hAnsi="Arial" w:cs="Arial"/>
          <w:b/>
          <w:bCs/>
          <w:sz w:val="32"/>
          <w:szCs w:val="32"/>
          <w:lang w:val="fr-CA"/>
        </w:rPr>
        <w:t>Mandat – Comité consultatif externe</w:t>
      </w:r>
      <w:r w:rsidR="00CC6607">
        <w:rPr>
          <w:rFonts w:ascii="Arial" w:hAnsi="Arial" w:cs="Arial"/>
          <w:b/>
          <w:bCs/>
          <w:sz w:val="32"/>
          <w:szCs w:val="32"/>
          <w:lang w:val="fr-CA"/>
        </w:rPr>
        <w:br/>
        <w:t>s</w:t>
      </w:r>
      <w:r w:rsidRPr="00995419">
        <w:rPr>
          <w:rFonts w:ascii="Arial" w:hAnsi="Arial" w:cs="Arial"/>
          <w:b/>
          <w:bCs/>
          <w:sz w:val="32"/>
          <w:szCs w:val="32"/>
          <w:lang w:val="fr-CA"/>
        </w:rPr>
        <w:t>ur la rémunération des cadres supérieurs</w:t>
      </w:r>
    </w:p>
    <w:p w14:paraId="397CDDF6" w14:textId="77777777" w:rsidR="004B7969" w:rsidRPr="00995419" w:rsidRDefault="004B7969" w:rsidP="004B7969">
      <w:pPr>
        <w:pStyle w:val="NoSpacing"/>
        <w:jc w:val="center"/>
        <w:rPr>
          <w:rFonts w:ascii="Arial" w:hAnsi="Arial" w:cs="Arial"/>
          <w:b/>
          <w:bCs/>
          <w:sz w:val="32"/>
          <w:szCs w:val="32"/>
          <w:lang w:val="fr-CA"/>
        </w:rPr>
      </w:pPr>
    </w:p>
    <w:p w14:paraId="065C0681" w14:textId="77777777" w:rsidR="004B7969" w:rsidRPr="00995419" w:rsidRDefault="004B7969" w:rsidP="004B7969">
      <w:pPr>
        <w:pStyle w:val="NoSpacing"/>
        <w:jc w:val="center"/>
        <w:rPr>
          <w:rFonts w:ascii="Arial" w:hAnsi="Arial" w:cs="Arial"/>
          <w:b/>
          <w:bCs/>
          <w:sz w:val="32"/>
          <w:szCs w:val="32"/>
          <w:lang w:val="fr-CA"/>
        </w:rPr>
      </w:pPr>
    </w:p>
    <w:p w14:paraId="13723811" w14:textId="77777777" w:rsidR="004B7969" w:rsidRPr="00995419" w:rsidRDefault="004B7969" w:rsidP="004B7969">
      <w:pPr>
        <w:pStyle w:val="NoSpacing"/>
        <w:jc w:val="center"/>
        <w:rPr>
          <w:rFonts w:ascii="Arial" w:hAnsi="Arial" w:cs="Arial"/>
          <w:b/>
          <w:bCs/>
          <w:sz w:val="32"/>
          <w:szCs w:val="32"/>
          <w:lang w:val="fr-CA"/>
        </w:rPr>
      </w:pPr>
    </w:p>
    <w:p w14:paraId="1FDD964E" w14:textId="77777777" w:rsidR="004B7969" w:rsidRPr="00995419" w:rsidRDefault="004B7969" w:rsidP="004B7969">
      <w:pPr>
        <w:pStyle w:val="NoSpacing"/>
        <w:jc w:val="center"/>
        <w:rPr>
          <w:rFonts w:ascii="Arial" w:hAnsi="Arial" w:cs="Arial"/>
          <w:b/>
          <w:bCs/>
          <w:sz w:val="32"/>
          <w:szCs w:val="32"/>
          <w:lang w:val="fr-CA"/>
        </w:rPr>
      </w:pPr>
    </w:p>
    <w:p w14:paraId="12DBF5AC" w14:textId="77777777" w:rsidR="004B7969" w:rsidRPr="00995419" w:rsidRDefault="004B7969" w:rsidP="004B7969">
      <w:pPr>
        <w:pStyle w:val="NoSpacing"/>
        <w:jc w:val="center"/>
        <w:rPr>
          <w:rFonts w:ascii="Arial" w:hAnsi="Arial" w:cs="Arial"/>
          <w:b/>
          <w:bCs/>
          <w:sz w:val="32"/>
          <w:szCs w:val="32"/>
          <w:lang w:val="fr-CA"/>
        </w:rPr>
      </w:pPr>
    </w:p>
    <w:p w14:paraId="1B6C77F7" w14:textId="77777777" w:rsidR="004B7969" w:rsidRPr="00995419" w:rsidRDefault="004B7969" w:rsidP="004B7969">
      <w:pPr>
        <w:pStyle w:val="NoSpacing"/>
        <w:jc w:val="center"/>
        <w:rPr>
          <w:rFonts w:ascii="Arial" w:hAnsi="Arial" w:cs="Arial"/>
          <w:b/>
          <w:bCs/>
          <w:sz w:val="32"/>
          <w:szCs w:val="32"/>
          <w:lang w:val="fr-CA"/>
        </w:rPr>
      </w:pPr>
    </w:p>
    <w:p w14:paraId="7C314A4A" w14:textId="016C0B36" w:rsidR="004B7969" w:rsidRPr="007E7A7E" w:rsidRDefault="00995419" w:rsidP="00995419">
      <w:pPr>
        <w:pStyle w:val="NoSpacing"/>
        <w:jc w:val="center"/>
        <w:rPr>
          <w:rFonts w:ascii="Arial" w:hAnsi="Arial" w:cs="Arial"/>
          <w:b/>
          <w:bCs/>
          <w:sz w:val="32"/>
          <w:szCs w:val="32"/>
          <w:lang w:val="fr-CA"/>
        </w:rPr>
      </w:pPr>
      <w:r w:rsidRPr="00995419">
        <w:rPr>
          <w:rFonts w:ascii="Arial" w:hAnsi="Arial" w:cs="Arial"/>
          <w:b/>
          <w:bCs/>
          <w:sz w:val="32"/>
          <w:szCs w:val="32"/>
          <w:lang w:val="fr-CA"/>
        </w:rPr>
        <w:t xml:space="preserve">Proposition </w:t>
      </w:r>
      <w:r>
        <w:rPr>
          <w:rFonts w:ascii="Arial" w:hAnsi="Arial" w:cs="Arial"/>
          <w:b/>
          <w:bCs/>
          <w:sz w:val="32"/>
          <w:szCs w:val="32"/>
          <w:lang w:val="fr-CA"/>
        </w:rPr>
        <w:t xml:space="preserve">à la </w:t>
      </w:r>
      <w:r w:rsidR="00727A97">
        <w:rPr>
          <w:rFonts w:ascii="Arial" w:hAnsi="Arial" w:cs="Arial"/>
          <w:b/>
          <w:bCs/>
          <w:sz w:val="32"/>
          <w:szCs w:val="32"/>
          <w:lang w:val="fr-CA"/>
        </w:rPr>
        <w:t>p</w:t>
      </w:r>
      <w:r w:rsidRPr="00995419">
        <w:rPr>
          <w:rFonts w:ascii="Arial" w:hAnsi="Arial" w:cs="Arial"/>
          <w:b/>
          <w:bCs/>
          <w:sz w:val="32"/>
          <w:szCs w:val="32"/>
          <w:lang w:val="fr-CA"/>
        </w:rPr>
        <w:t>résident</w:t>
      </w:r>
      <w:r>
        <w:rPr>
          <w:rFonts w:ascii="Arial" w:hAnsi="Arial" w:cs="Arial"/>
          <w:b/>
          <w:bCs/>
          <w:sz w:val="32"/>
          <w:szCs w:val="32"/>
          <w:lang w:val="fr-CA"/>
        </w:rPr>
        <w:t>e</w:t>
      </w:r>
      <w:r w:rsidRPr="00995419">
        <w:rPr>
          <w:rFonts w:ascii="Arial" w:hAnsi="Arial" w:cs="Arial"/>
          <w:b/>
          <w:bCs/>
          <w:sz w:val="32"/>
          <w:szCs w:val="32"/>
          <w:lang w:val="fr-CA"/>
        </w:rPr>
        <w:t xml:space="preserve"> du Conseil du Trésor du Canada</w:t>
      </w:r>
      <w:r w:rsidR="00CC6607">
        <w:rPr>
          <w:rFonts w:ascii="Arial" w:hAnsi="Arial" w:cs="Arial"/>
          <w:b/>
          <w:bCs/>
          <w:sz w:val="32"/>
          <w:szCs w:val="32"/>
          <w:lang w:val="fr-CA"/>
        </w:rPr>
        <w:br/>
        <w:t>p</w:t>
      </w:r>
      <w:r w:rsidRPr="00995419">
        <w:rPr>
          <w:rFonts w:ascii="Arial" w:hAnsi="Arial" w:cs="Arial"/>
          <w:b/>
          <w:bCs/>
          <w:sz w:val="32"/>
          <w:szCs w:val="32"/>
          <w:lang w:val="fr-CA"/>
        </w:rPr>
        <w:t>ar l’Association des cadres professionnels de l</w:t>
      </w:r>
      <w:r>
        <w:rPr>
          <w:rFonts w:ascii="Arial" w:hAnsi="Arial" w:cs="Arial"/>
          <w:b/>
          <w:bCs/>
          <w:sz w:val="32"/>
          <w:szCs w:val="32"/>
          <w:lang w:val="fr-CA"/>
        </w:rPr>
        <w:t>a</w:t>
      </w:r>
      <w:r w:rsidR="00CC6607">
        <w:rPr>
          <w:rFonts w:ascii="Arial" w:hAnsi="Arial" w:cs="Arial"/>
          <w:b/>
          <w:bCs/>
          <w:sz w:val="32"/>
          <w:szCs w:val="32"/>
          <w:lang w:val="fr-CA"/>
        </w:rPr>
        <w:br/>
      </w:r>
      <w:r w:rsidRPr="007E7A7E">
        <w:rPr>
          <w:rFonts w:ascii="Arial" w:hAnsi="Arial" w:cs="Arial"/>
          <w:b/>
          <w:bCs/>
          <w:sz w:val="32"/>
          <w:szCs w:val="32"/>
          <w:lang w:val="fr-CA"/>
        </w:rPr>
        <w:t>fonction publique du Canada</w:t>
      </w:r>
    </w:p>
    <w:p w14:paraId="09FC04C7" w14:textId="77777777" w:rsidR="004B7969" w:rsidRPr="007E7A7E" w:rsidRDefault="004B7969" w:rsidP="004B7969">
      <w:pPr>
        <w:pStyle w:val="NoSpacing"/>
        <w:jc w:val="center"/>
        <w:rPr>
          <w:rFonts w:ascii="Arial" w:hAnsi="Arial" w:cs="Arial"/>
          <w:b/>
          <w:bCs/>
          <w:sz w:val="32"/>
          <w:szCs w:val="32"/>
          <w:lang w:val="fr-CA"/>
        </w:rPr>
      </w:pPr>
    </w:p>
    <w:p w14:paraId="244FFE91" w14:textId="77777777" w:rsidR="004B7969" w:rsidRPr="007E7A7E" w:rsidRDefault="004B7969" w:rsidP="004B7969">
      <w:pPr>
        <w:pStyle w:val="NoSpacing"/>
        <w:jc w:val="center"/>
        <w:rPr>
          <w:rFonts w:ascii="Arial" w:hAnsi="Arial" w:cs="Arial"/>
          <w:b/>
          <w:bCs/>
          <w:sz w:val="32"/>
          <w:szCs w:val="32"/>
          <w:lang w:val="fr-CA"/>
        </w:rPr>
      </w:pPr>
    </w:p>
    <w:p w14:paraId="2BE5C3F7" w14:textId="77777777" w:rsidR="004B7969" w:rsidRPr="007E7A7E" w:rsidRDefault="004B7969" w:rsidP="004B7969">
      <w:pPr>
        <w:pStyle w:val="NoSpacing"/>
        <w:jc w:val="center"/>
        <w:rPr>
          <w:rFonts w:ascii="Arial" w:hAnsi="Arial" w:cs="Arial"/>
          <w:b/>
          <w:bCs/>
          <w:sz w:val="32"/>
          <w:szCs w:val="32"/>
          <w:lang w:val="fr-CA"/>
        </w:rPr>
      </w:pPr>
    </w:p>
    <w:p w14:paraId="289B928E" w14:textId="77777777" w:rsidR="004B7969" w:rsidRPr="007E7A7E" w:rsidRDefault="004B7969" w:rsidP="004B7969">
      <w:pPr>
        <w:pStyle w:val="NoSpacing"/>
        <w:jc w:val="center"/>
        <w:rPr>
          <w:rFonts w:ascii="Arial" w:hAnsi="Arial" w:cs="Arial"/>
          <w:b/>
          <w:bCs/>
          <w:sz w:val="32"/>
          <w:szCs w:val="32"/>
          <w:lang w:val="fr-CA"/>
        </w:rPr>
      </w:pPr>
    </w:p>
    <w:p w14:paraId="371E663E" w14:textId="1B7B592D" w:rsidR="004B7969" w:rsidRPr="007E7A7E" w:rsidRDefault="001A4D87" w:rsidP="000453B5">
      <w:pPr>
        <w:pStyle w:val="NoSpacing"/>
        <w:jc w:val="center"/>
        <w:rPr>
          <w:rFonts w:ascii="Arial" w:hAnsi="Arial" w:cs="Arial"/>
          <w:sz w:val="28"/>
          <w:szCs w:val="28"/>
          <w:lang w:val="fr-CA"/>
        </w:rPr>
      </w:pPr>
      <w:r>
        <w:rPr>
          <w:rFonts w:ascii="Arial" w:hAnsi="Arial" w:cs="Arial"/>
          <w:b/>
          <w:bCs/>
          <w:sz w:val="32"/>
          <w:szCs w:val="32"/>
          <w:lang w:val="fr-CA"/>
        </w:rPr>
        <w:t>Le 14 f</w:t>
      </w:r>
      <w:r w:rsidR="00995419" w:rsidRPr="007E7A7E">
        <w:rPr>
          <w:rFonts w:ascii="Arial" w:hAnsi="Arial" w:cs="Arial"/>
          <w:b/>
          <w:bCs/>
          <w:sz w:val="32"/>
          <w:szCs w:val="32"/>
          <w:lang w:val="fr-CA"/>
        </w:rPr>
        <w:t>évrier</w:t>
      </w:r>
      <w:r w:rsidR="004B7969" w:rsidRPr="007E7A7E">
        <w:rPr>
          <w:rFonts w:ascii="Arial" w:hAnsi="Arial" w:cs="Arial"/>
          <w:b/>
          <w:bCs/>
          <w:sz w:val="32"/>
          <w:szCs w:val="32"/>
          <w:lang w:val="fr-CA"/>
        </w:rPr>
        <w:t xml:space="preserve"> 2023</w:t>
      </w:r>
      <w:r w:rsidR="004B7969" w:rsidRPr="007E7A7E">
        <w:rPr>
          <w:rFonts w:ascii="Arial" w:hAnsi="Arial" w:cs="Arial"/>
          <w:sz w:val="28"/>
          <w:szCs w:val="28"/>
          <w:lang w:val="fr-CA"/>
        </w:rPr>
        <w:br w:type="page"/>
      </w:r>
    </w:p>
    <w:sdt>
      <w:sdtPr>
        <w:rPr>
          <w:rFonts w:ascii="Arial" w:eastAsia="Times New Roman" w:hAnsi="Arial" w:cs="Arial"/>
          <w:color w:val="0D0D0D" w:themeColor="text1" w:themeTint="F2"/>
          <w:kern w:val="28"/>
          <w:sz w:val="20"/>
          <w:szCs w:val="24"/>
          <w:lang w:val="fr-CA" w:eastAsia="fr-CA"/>
          <w14:ligatures w14:val="standardContextual"/>
        </w:rPr>
        <w:id w:val="1007407222"/>
        <w:docPartObj>
          <w:docPartGallery w:val="Table of Contents"/>
          <w:docPartUnique/>
        </w:docPartObj>
      </w:sdtPr>
      <w:sdtEndPr>
        <w:rPr>
          <w:b/>
          <w:bCs/>
          <w:noProof/>
        </w:rPr>
      </w:sdtEndPr>
      <w:sdtContent>
        <w:p w14:paraId="07C984B8" w14:textId="7D7E98D7" w:rsidR="00B2226A" w:rsidRPr="00264B33" w:rsidRDefault="00B2226A" w:rsidP="00F41F01">
          <w:pPr>
            <w:pStyle w:val="TOCHeading"/>
            <w:jc w:val="center"/>
            <w:rPr>
              <w:rFonts w:ascii="Arial" w:hAnsi="Arial" w:cs="Arial"/>
              <w:b/>
              <w:bCs/>
              <w:color w:val="auto"/>
              <w:sz w:val="40"/>
              <w:szCs w:val="40"/>
            </w:rPr>
          </w:pPr>
          <w:r w:rsidRPr="00264B33">
            <w:rPr>
              <w:rFonts w:ascii="Arial" w:hAnsi="Arial" w:cs="Arial"/>
              <w:b/>
              <w:bCs/>
              <w:color w:val="auto"/>
              <w:sz w:val="40"/>
              <w:szCs w:val="40"/>
            </w:rPr>
            <w:t xml:space="preserve">Table </w:t>
          </w:r>
          <w:r w:rsidR="007E7A7E" w:rsidRPr="00264B33">
            <w:rPr>
              <w:rFonts w:ascii="Arial" w:hAnsi="Arial" w:cs="Arial"/>
              <w:b/>
              <w:bCs/>
              <w:color w:val="auto"/>
              <w:sz w:val="40"/>
              <w:szCs w:val="40"/>
            </w:rPr>
            <w:t>des matières</w:t>
          </w:r>
        </w:p>
        <w:p w14:paraId="23ECC4E8" w14:textId="4EFFC0E5" w:rsidR="00F41F01" w:rsidRDefault="00F41F01" w:rsidP="00F41F01">
          <w:pPr>
            <w:rPr>
              <w:sz w:val="24"/>
              <w:szCs w:val="32"/>
              <w:lang w:val="en-US" w:eastAsia="en-US"/>
            </w:rPr>
          </w:pPr>
        </w:p>
        <w:p w14:paraId="4497FCCA" w14:textId="77777777" w:rsidR="00520CEB" w:rsidRPr="00264B33" w:rsidRDefault="00520CEB" w:rsidP="00F41F01">
          <w:pPr>
            <w:rPr>
              <w:sz w:val="24"/>
              <w:szCs w:val="32"/>
              <w:lang w:val="en-US" w:eastAsia="en-US"/>
            </w:rPr>
          </w:pPr>
        </w:p>
        <w:p w14:paraId="19A2F374" w14:textId="54A83C28" w:rsidR="00264B33" w:rsidRPr="00264B33" w:rsidRDefault="00B2226A">
          <w:pPr>
            <w:pStyle w:val="TOC1"/>
            <w:tabs>
              <w:tab w:val="right" w:leader="dot" w:pos="9249"/>
            </w:tabs>
            <w:rPr>
              <w:rFonts w:asciiTheme="minorHAnsi" w:eastAsiaTheme="minorEastAsia" w:hAnsiTheme="minorHAnsi" w:cstheme="minorBidi"/>
              <w:noProof/>
              <w:color w:val="auto"/>
              <w:kern w:val="0"/>
              <w:sz w:val="24"/>
              <w:lang w:val="en-CA" w:eastAsia="en-CA"/>
              <w14:ligatures w14:val="none"/>
            </w:rPr>
          </w:pPr>
          <w:r w:rsidRPr="00264B33">
            <w:rPr>
              <w:rFonts w:ascii="Arial" w:hAnsi="Arial" w:cs="Arial"/>
              <w:sz w:val="24"/>
              <w:szCs w:val="32"/>
            </w:rPr>
            <w:fldChar w:fldCharType="begin"/>
          </w:r>
          <w:r w:rsidRPr="00264B33">
            <w:rPr>
              <w:rFonts w:ascii="Arial" w:hAnsi="Arial" w:cs="Arial"/>
              <w:sz w:val="24"/>
              <w:szCs w:val="32"/>
              <w:lang w:val="en-CA"/>
            </w:rPr>
            <w:instrText xml:space="preserve"> TOC \o "1-3" \h \z \u </w:instrText>
          </w:r>
          <w:r w:rsidRPr="00264B33">
            <w:rPr>
              <w:rFonts w:ascii="Arial" w:hAnsi="Arial" w:cs="Arial"/>
              <w:sz w:val="24"/>
              <w:szCs w:val="32"/>
            </w:rPr>
            <w:fldChar w:fldCharType="separate"/>
          </w:r>
          <w:hyperlink w:anchor="_Toc127212918" w:history="1">
            <w:r w:rsidR="00264B33" w:rsidRPr="00264B33">
              <w:rPr>
                <w:rStyle w:val="Hyperlink"/>
                <w:rFonts w:cs="Arial"/>
                <w:noProof/>
                <w:sz w:val="22"/>
                <w:szCs w:val="28"/>
              </w:rPr>
              <w:t>Préambule</w:t>
            </w:r>
            <w:r w:rsidR="00264B33" w:rsidRPr="00264B33">
              <w:rPr>
                <w:noProof/>
                <w:webHidden/>
                <w:sz w:val="22"/>
                <w:szCs w:val="28"/>
              </w:rPr>
              <w:tab/>
            </w:r>
            <w:r w:rsidR="00264B33" w:rsidRPr="00264B33">
              <w:rPr>
                <w:noProof/>
                <w:webHidden/>
                <w:sz w:val="22"/>
                <w:szCs w:val="28"/>
              </w:rPr>
              <w:fldChar w:fldCharType="begin"/>
            </w:r>
            <w:r w:rsidR="00264B33" w:rsidRPr="00264B33">
              <w:rPr>
                <w:noProof/>
                <w:webHidden/>
                <w:sz w:val="22"/>
                <w:szCs w:val="28"/>
              </w:rPr>
              <w:instrText xml:space="preserve"> PAGEREF _Toc127212918 \h </w:instrText>
            </w:r>
            <w:r w:rsidR="00264B33" w:rsidRPr="00264B33">
              <w:rPr>
                <w:noProof/>
                <w:webHidden/>
                <w:sz w:val="22"/>
                <w:szCs w:val="28"/>
              </w:rPr>
            </w:r>
            <w:r w:rsidR="00264B33" w:rsidRPr="00264B33">
              <w:rPr>
                <w:noProof/>
                <w:webHidden/>
                <w:sz w:val="22"/>
                <w:szCs w:val="28"/>
              </w:rPr>
              <w:fldChar w:fldCharType="separate"/>
            </w:r>
            <w:r w:rsidR="00101A92">
              <w:rPr>
                <w:noProof/>
                <w:webHidden/>
                <w:sz w:val="22"/>
                <w:szCs w:val="28"/>
              </w:rPr>
              <w:t>3</w:t>
            </w:r>
            <w:r w:rsidR="00264B33" w:rsidRPr="00264B33">
              <w:rPr>
                <w:noProof/>
                <w:webHidden/>
                <w:sz w:val="22"/>
                <w:szCs w:val="28"/>
              </w:rPr>
              <w:fldChar w:fldCharType="end"/>
            </w:r>
          </w:hyperlink>
        </w:p>
        <w:p w14:paraId="1B625BB8" w14:textId="2BBC58D2" w:rsidR="00264B33" w:rsidRPr="00264B33" w:rsidRDefault="00101A92">
          <w:pPr>
            <w:pStyle w:val="TOC1"/>
            <w:tabs>
              <w:tab w:val="right" w:leader="dot" w:pos="9249"/>
            </w:tabs>
            <w:rPr>
              <w:rFonts w:asciiTheme="minorHAnsi" w:eastAsiaTheme="minorEastAsia" w:hAnsiTheme="minorHAnsi" w:cstheme="minorBidi"/>
              <w:noProof/>
              <w:color w:val="auto"/>
              <w:kern w:val="0"/>
              <w:sz w:val="24"/>
              <w:lang w:val="en-CA" w:eastAsia="en-CA"/>
              <w14:ligatures w14:val="none"/>
            </w:rPr>
          </w:pPr>
          <w:hyperlink w:anchor="_Toc127212919" w:history="1">
            <w:r w:rsidR="00264B33" w:rsidRPr="00264B33">
              <w:rPr>
                <w:rStyle w:val="Hyperlink"/>
                <w:noProof/>
                <w:sz w:val="22"/>
                <w:szCs w:val="28"/>
              </w:rPr>
              <w:t>Mandat – Comité consultatif externe sur la rémunération des cadres supérieurs</w:t>
            </w:r>
            <w:r w:rsidR="00264B33" w:rsidRPr="00264B33">
              <w:rPr>
                <w:noProof/>
                <w:webHidden/>
                <w:sz w:val="22"/>
                <w:szCs w:val="28"/>
              </w:rPr>
              <w:tab/>
            </w:r>
            <w:r w:rsidR="00264B33" w:rsidRPr="00264B33">
              <w:rPr>
                <w:noProof/>
                <w:webHidden/>
                <w:sz w:val="22"/>
                <w:szCs w:val="28"/>
              </w:rPr>
              <w:fldChar w:fldCharType="begin"/>
            </w:r>
            <w:r w:rsidR="00264B33" w:rsidRPr="00264B33">
              <w:rPr>
                <w:noProof/>
                <w:webHidden/>
                <w:sz w:val="22"/>
                <w:szCs w:val="28"/>
              </w:rPr>
              <w:instrText xml:space="preserve"> PAGEREF _Toc127212919 \h </w:instrText>
            </w:r>
            <w:r w:rsidR="00264B33" w:rsidRPr="00264B33">
              <w:rPr>
                <w:noProof/>
                <w:webHidden/>
                <w:sz w:val="22"/>
                <w:szCs w:val="28"/>
              </w:rPr>
            </w:r>
            <w:r w:rsidR="00264B33" w:rsidRPr="00264B33">
              <w:rPr>
                <w:noProof/>
                <w:webHidden/>
                <w:sz w:val="22"/>
                <w:szCs w:val="28"/>
              </w:rPr>
              <w:fldChar w:fldCharType="separate"/>
            </w:r>
            <w:r>
              <w:rPr>
                <w:noProof/>
                <w:webHidden/>
                <w:sz w:val="22"/>
                <w:szCs w:val="28"/>
              </w:rPr>
              <w:t>5</w:t>
            </w:r>
            <w:r w:rsidR="00264B33" w:rsidRPr="00264B33">
              <w:rPr>
                <w:noProof/>
                <w:webHidden/>
                <w:sz w:val="22"/>
                <w:szCs w:val="28"/>
              </w:rPr>
              <w:fldChar w:fldCharType="end"/>
            </w:r>
          </w:hyperlink>
        </w:p>
        <w:p w14:paraId="27656CA0" w14:textId="19AF4B7C" w:rsidR="00264B33" w:rsidRPr="00264B33" w:rsidRDefault="00101A92">
          <w:pPr>
            <w:pStyle w:val="TOC2"/>
            <w:tabs>
              <w:tab w:val="right" w:leader="dot" w:pos="9249"/>
            </w:tabs>
            <w:rPr>
              <w:rFonts w:asciiTheme="minorHAnsi" w:eastAsiaTheme="minorEastAsia" w:hAnsiTheme="minorHAnsi" w:cstheme="minorBidi"/>
              <w:noProof/>
              <w:color w:val="auto"/>
              <w:kern w:val="0"/>
              <w:sz w:val="24"/>
              <w:lang w:val="en-CA" w:eastAsia="en-CA"/>
              <w14:ligatures w14:val="none"/>
            </w:rPr>
          </w:pPr>
          <w:hyperlink w:anchor="_Toc127212920" w:history="1">
            <w:r w:rsidR="00264B33" w:rsidRPr="00264B33">
              <w:rPr>
                <w:rStyle w:val="Hyperlink"/>
                <w:noProof/>
                <w:sz w:val="22"/>
                <w:szCs w:val="28"/>
              </w:rPr>
              <w:t>But</w:t>
            </w:r>
            <w:r w:rsidR="00264B33" w:rsidRPr="00264B33">
              <w:rPr>
                <w:noProof/>
                <w:webHidden/>
                <w:sz w:val="22"/>
                <w:szCs w:val="28"/>
              </w:rPr>
              <w:tab/>
            </w:r>
            <w:r w:rsidR="00264B33" w:rsidRPr="00264B33">
              <w:rPr>
                <w:noProof/>
                <w:webHidden/>
                <w:sz w:val="22"/>
                <w:szCs w:val="28"/>
              </w:rPr>
              <w:fldChar w:fldCharType="begin"/>
            </w:r>
            <w:r w:rsidR="00264B33" w:rsidRPr="00264B33">
              <w:rPr>
                <w:noProof/>
                <w:webHidden/>
                <w:sz w:val="22"/>
                <w:szCs w:val="28"/>
              </w:rPr>
              <w:instrText xml:space="preserve"> PAGEREF _Toc127212920 \h </w:instrText>
            </w:r>
            <w:r w:rsidR="00264B33" w:rsidRPr="00264B33">
              <w:rPr>
                <w:noProof/>
                <w:webHidden/>
                <w:sz w:val="22"/>
                <w:szCs w:val="28"/>
              </w:rPr>
            </w:r>
            <w:r w:rsidR="00264B33" w:rsidRPr="00264B33">
              <w:rPr>
                <w:noProof/>
                <w:webHidden/>
                <w:sz w:val="22"/>
                <w:szCs w:val="28"/>
              </w:rPr>
              <w:fldChar w:fldCharType="separate"/>
            </w:r>
            <w:r>
              <w:rPr>
                <w:noProof/>
                <w:webHidden/>
                <w:sz w:val="22"/>
                <w:szCs w:val="28"/>
              </w:rPr>
              <w:t>5</w:t>
            </w:r>
            <w:r w:rsidR="00264B33" w:rsidRPr="00264B33">
              <w:rPr>
                <w:noProof/>
                <w:webHidden/>
                <w:sz w:val="22"/>
                <w:szCs w:val="28"/>
              </w:rPr>
              <w:fldChar w:fldCharType="end"/>
            </w:r>
          </w:hyperlink>
        </w:p>
        <w:p w14:paraId="7904F43D" w14:textId="232C3CFE" w:rsidR="00264B33" w:rsidRPr="00264B33" w:rsidRDefault="00101A92">
          <w:pPr>
            <w:pStyle w:val="TOC2"/>
            <w:tabs>
              <w:tab w:val="right" w:leader="dot" w:pos="9249"/>
            </w:tabs>
            <w:rPr>
              <w:rFonts w:asciiTheme="minorHAnsi" w:eastAsiaTheme="minorEastAsia" w:hAnsiTheme="minorHAnsi" w:cstheme="minorBidi"/>
              <w:noProof/>
              <w:color w:val="auto"/>
              <w:kern w:val="0"/>
              <w:sz w:val="24"/>
              <w:lang w:val="en-CA" w:eastAsia="en-CA"/>
              <w14:ligatures w14:val="none"/>
            </w:rPr>
          </w:pPr>
          <w:hyperlink w:anchor="_Toc127212921" w:history="1">
            <w:r w:rsidR="00264B33" w:rsidRPr="00264B33">
              <w:rPr>
                <w:rStyle w:val="Hyperlink"/>
                <w:noProof/>
                <w:sz w:val="22"/>
                <w:szCs w:val="28"/>
              </w:rPr>
              <w:t>Mandat</w:t>
            </w:r>
            <w:r w:rsidR="00264B33" w:rsidRPr="00264B33">
              <w:rPr>
                <w:noProof/>
                <w:webHidden/>
                <w:sz w:val="22"/>
                <w:szCs w:val="28"/>
              </w:rPr>
              <w:tab/>
            </w:r>
            <w:r w:rsidR="00264B33" w:rsidRPr="00264B33">
              <w:rPr>
                <w:noProof/>
                <w:webHidden/>
                <w:sz w:val="22"/>
                <w:szCs w:val="28"/>
              </w:rPr>
              <w:fldChar w:fldCharType="begin"/>
            </w:r>
            <w:r w:rsidR="00264B33" w:rsidRPr="00264B33">
              <w:rPr>
                <w:noProof/>
                <w:webHidden/>
                <w:sz w:val="22"/>
                <w:szCs w:val="28"/>
              </w:rPr>
              <w:instrText xml:space="preserve"> PAGEREF _Toc127212921 \h </w:instrText>
            </w:r>
            <w:r w:rsidR="00264B33" w:rsidRPr="00264B33">
              <w:rPr>
                <w:noProof/>
                <w:webHidden/>
                <w:sz w:val="22"/>
                <w:szCs w:val="28"/>
              </w:rPr>
            </w:r>
            <w:r w:rsidR="00264B33" w:rsidRPr="00264B33">
              <w:rPr>
                <w:noProof/>
                <w:webHidden/>
                <w:sz w:val="22"/>
                <w:szCs w:val="28"/>
              </w:rPr>
              <w:fldChar w:fldCharType="separate"/>
            </w:r>
            <w:r>
              <w:rPr>
                <w:noProof/>
                <w:webHidden/>
                <w:sz w:val="22"/>
                <w:szCs w:val="28"/>
              </w:rPr>
              <w:t>5</w:t>
            </w:r>
            <w:r w:rsidR="00264B33" w:rsidRPr="00264B33">
              <w:rPr>
                <w:noProof/>
                <w:webHidden/>
                <w:sz w:val="22"/>
                <w:szCs w:val="28"/>
              </w:rPr>
              <w:fldChar w:fldCharType="end"/>
            </w:r>
          </w:hyperlink>
        </w:p>
        <w:p w14:paraId="4E1AB841" w14:textId="13595EF9" w:rsidR="00264B33" w:rsidRPr="00264B33" w:rsidRDefault="00101A92">
          <w:pPr>
            <w:pStyle w:val="TOC2"/>
            <w:tabs>
              <w:tab w:val="right" w:leader="dot" w:pos="9249"/>
            </w:tabs>
            <w:rPr>
              <w:rFonts w:asciiTheme="minorHAnsi" w:eastAsiaTheme="minorEastAsia" w:hAnsiTheme="minorHAnsi" w:cstheme="minorBidi"/>
              <w:noProof/>
              <w:color w:val="auto"/>
              <w:kern w:val="0"/>
              <w:sz w:val="24"/>
              <w:lang w:val="en-CA" w:eastAsia="en-CA"/>
              <w14:ligatures w14:val="none"/>
            </w:rPr>
          </w:pPr>
          <w:hyperlink w:anchor="_Toc127212922" w:history="1">
            <w:r w:rsidR="00264B33" w:rsidRPr="00264B33">
              <w:rPr>
                <w:rStyle w:val="Hyperlink"/>
                <w:noProof/>
                <w:sz w:val="22"/>
                <w:szCs w:val="28"/>
              </w:rPr>
              <w:t>Fonctions</w:t>
            </w:r>
            <w:r w:rsidR="00264B33" w:rsidRPr="00264B33">
              <w:rPr>
                <w:noProof/>
                <w:webHidden/>
                <w:sz w:val="22"/>
                <w:szCs w:val="28"/>
              </w:rPr>
              <w:tab/>
            </w:r>
            <w:r w:rsidR="00264B33" w:rsidRPr="00264B33">
              <w:rPr>
                <w:noProof/>
                <w:webHidden/>
                <w:sz w:val="22"/>
                <w:szCs w:val="28"/>
              </w:rPr>
              <w:fldChar w:fldCharType="begin"/>
            </w:r>
            <w:r w:rsidR="00264B33" w:rsidRPr="00264B33">
              <w:rPr>
                <w:noProof/>
                <w:webHidden/>
                <w:sz w:val="22"/>
                <w:szCs w:val="28"/>
              </w:rPr>
              <w:instrText xml:space="preserve"> PAGEREF _Toc127212922 \h </w:instrText>
            </w:r>
            <w:r w:rsidR="00264B33" w:rsidRPr="00264B33">
              <w:rPr>
                <w:noProof/>
                <w:webHidden/>
                <w:sz w:val="22"/>
                <w:szCs w:val="28"/>
              </w:rPr>
            </w:r>
            <w:r w:rsidR="00264B33" w:rsidRPr="00264B33">
              <w:rPr>
                <w:noProof/>
                <w:webHidden/>
                <w:sz w:val="22"/>
                <w:szCs w:val="28"/>
              </w:rPr>
              <w:fldChar w:fldCharType="separate"/>
            </w:r>
            <w:r>
              <w:rPr>
                <w:noProof/>
                <w:webHidden/>
                <w:sz w:val="22"/>
                <w:szCs w:val="28"/>
              </w:rPr>
              <w:t>6</w:t>
            </w:r>
            <w:r w:rsidR="00264B33" w:rsidRPr="00264B33">
              <w:rPr>
                <w:noProof/>
                <w:webHidden/>
                <w:sz w:val="22"/>
                <w:szCs w:val="28"/>
              </w:rPr>
              <w:fldChar w:fldCharType="end"/>
            </w:r>
          </w:hyperlink>
        </w:p>
        <w:p w14:paraId="721B6542" w14:textId="35C90E39" w:rsidR="00264B33" w:rsidRPr="00264B33" w:rsidRDefault="00101A92">
          <w:pPr>
            <w:pStyle w:val="TOC2"/>
            <w:tabs>
              <w:tab w:val="right" w:leader="dot" w:pos="9249"/>
            </w:tabs>
            <w:rPr>
              <w:rFonts w:asciiTheme="minorHAnsi" w:eastAsiaTheme="minorEastAsia" w:hAnsiTheme="minorHAnsi" w:cstheme="minorBidi"/>
              <w:noProof/>
              <w:color w:val="auto"/>
              <w:kern w:val="0"/>
              <w:sz w:val="24"/>
              <w:lang w:val="en-CA" w:eastAsia="en-CA"/>
              <w14:ligatures w14:val="none"/>
            </w:rPr>
          </w:pPr>
          <w:hyperlink w:anchor="_Toc127212923" w:history="1">
            <w:r w:rsidR="00264B33" w:rsidRPr="00264B33">
              <w:rPr>
                <w:rStyle w:val="Hyperlink"/>
                <w:noProof/>
                <w:sz w:val="22"/>
                <w:szCs w:val="28"/>
              </w:rPr>
              <w:t>Principes directeurs</w:t>
            </w:r>
            <w:r w:rsidR="00264B33" w:rsidRPr="00264B33">
              <w:rPr>
                <w:noProof/>
                <w:webHidden/>
                <w:sz w:val="22"/>
                <w:szCs w:val="28"/>
              </w:rPr>
              <w:tab/>
            </w:r>
            <w:r w:rsidR="00264B33" w:rsidRPr="00264B33">
              <w:rPr>
                <w:noProof/>
                <w:webHidden/>
                <w:sz w:val="22"/>
                <w:szCs w:val="28"/>
              </w:rPr>
              <w:fldChar w:fldCharType="begin"/>
            </w:r>
            <w:r w:rsidR="00264B33" w:rsidRPr="00264B33">
              <w:rPr>
                <w:noProof/>
                <w:webHidden/>
                <w:sz w:val="22"/>
                <w:szCs w:val="28"/>
              </w:rPr>
              <w:instrText xml:space="preserve"> PAGEREF _Toc127212923 \h </w:instrText>
            </w:r>
            <w:r w:rsidR="00264B33" w:rsidRPr="00264B33">
              <w:rPr>
                <w:noProof/>
                <w:webHidden/>
                <w:sz w:val="22"/>
                <w:szCs w:val="28"/>
              </w:rPr>
            </w:r>
            <w:r w:rsidR="00264B33" w:rsidRPr="00264B33">
              <w:rPr>
                <w:noProof/>
                <w:webHidden/>
                <w:sz w:val="22"/>
                <w:szCs w:val="28"/>
              </w:rPr>
              <w:fldChar w:fldCharType="separate"/>
            </w:r>
            <w:r>
              <w:rPr>
                <w:noProof/>
                <w:webHidden/>
                <w:sz w:val="22"/>
                <w:szCs w:val="28"/>
              </w:rPr>
              <w:t>7</w:t>
            </w:r>
            <w:r w:rsidR="00264B33" w:rsidRPr="00264B33">
              <w:rPr>
                <w:noProof/>
                <w:webHidden/>
                <w:sz w:val="22"/>
                <w:szCs w:val="28"/>
              </w:rPr>
              <w:fldChar w:fldCharType="end"/>
            </w:r>
          </w:hyperlink>
        </w:p>
        <w:p w14:paraId="20089867" w14:textId="387E7ABA" w:rsidR="00264B33" w:rsidRPr="00264B33" w:rsidRDefault="00101A92">
          <w:pPr>
            <w:pStyle w:val="TOC2"/>
            <w:tabs>
              <w:tab w:val="right" w:leader="dot" w:pos="9249"/>
            </w:tabs>
            <w:rPr>
              <w:rFonts w:asciiTheme="minorHAnsi" w:eastAsiaTheme="minorEastAsia" w:hAnsiTheme="minorHAnsi" w:cstheme="minorBidi"/>
              <w:noProof/>
              <w:color w:val="auto"/>
              <w:kern w:val="0"/>
              <w:sz w:val="24"/>
              <w:lang w:val="en-CA" w:eastAsia="en-CA"/>
              <w14:ligatures w14:val="none"/>
            </w:rPr>
          </w:pPr>
          <w:hyperlink w:anchor="_Toc127212924" w:history="1">
            <w:r w:rsidR="00264B33" w:rsidRPr="00264B33">
              <w:rPr>
                <w:rStyle w:val="Hyperlink"/>
                <w:noProof/>
                <w:sz w:val="22"/>
                <w:szCs w:val="28"/>
              </w:rPr>
              <w:t>Méthodologie</w:t>
            </w:r>
            <w:r w:rsidR="00264B33" w:rsidRPr="00264B33">
              <w:rPr>
                <w:noProof/>
                <w:webHidden/>
                <w:sz w:val="22"/>
                <w:szCs w:val="28"/>
              </w:rPr>
              <w:tab/>
            </w:r>
            <w:r w:rsidR="00264B33" w:rsidRPr="00264B33">
              <w:rPr>
                <w:noProof/>
                <w:webHidden/>
                <w:sz w:val="22"/>
                <w:szCs w:val="28"/>
              </w:rPr>
              <w:fldChar w:fldCharType="begin"/>
            </w:r>
            <w:r w:rsidR="00264B33" w:rsidRPr="00264B33">
              <w:rPr>
                <w:noProof/>
                <w:webHidden/>
                <w:sz w:val="22"/>
                <w:szCs w:val="28"/>
              </w:rPr>
              <w:instrText xml:space="preserve"> PAGEREF _Toc127212924 \h </w:instrText>
            </w:r>
            <w:r w:rsidR="00264B33" w:rsidRPr="00264B33">
              <w:rPr>
                <w:noProof/>
                <w:webHidden/>
                <w:sz w:val="22"/>
                <w:szCs w:val="28"/>
              </w:rPr>
            </w:r>
            <w:r w:rsidR="00264B33" w:rsidRPr="00264B33">
              <w:rPr>
                <w:noProof/>
                <w:webHidden/>
                <w:sz w:val="22"/>
                <w:szCs w:val="28"/>
              </w:rPr>
              <w:fldChar w:fldCharType="separate"/>
            </w:r>
            <w:r>
              <w:rPr>
                <w:noProof/>
                <w:webHidden/>
                <w:sz w:val="22"/>
                <w:szCs w:val="28"/>
              </w:rPr>
              <w:t>8</w:t>
            </w:r>
            <w:r w:rsidR="00264B33" w:rsidRPr="00264B33">
              <w:rPr>
                <w:noProof/>
                <w:webHidden/>
                <w:sz w:val="22"/>
                <w:szCs w:val="28"/>
              </w:rPr>
              <w:fldChar w:fldCharType="end"/>
            </w:r>
          </w:hyperlink>
        </w:p>
        <w:p w14:paraId="04CB71FA" w14:textId="4253B422" w:rsidR="00264B33" w:rsidRPr="00264B33" w:rsidRDefault="00101A92">
          <w:pPr>
            <w:pStyle w:val="TOC2"/>
            <w:tabs>
              <w:tab w:val="right" w:leader="dot" w:pos="9249"/>
            </w:tabs>
            <w:rPr>
              <w:rFonts w:asciiTheme="minorHAnsi" w:eastAsiaTheme="minorEastAsia" w:hAnsiTheme="minorHAnsi" w:cstheme="minorBidi"/>
              <w:noProof/>
              <w:color w:val="auto"/>
              <w:kern w:val="0"/>
              <w:sz w:val="24"/>
              <w:lang w:val="en-CA" w:eastAsia="en-CA"/>
              <w14:ligatures w14:val="none"/>
            </w:rPr>
          </w:pPr>
          <w:hyperlink w:anchor="_Toc127212925" w:history="1">
            <w:r w:rsidR="00264B33" w:rsidRPr="00264B33">
              <w:rPr>
                <w:rStyle w:val="Hyperlink"/>
                <w:noProof/>
                <w:sz w:val="22"/>
                <w:szCs w:val="28"/>
              </w:rPr>
              <w:t>Résultat escompté</w:t>
            </w:r>
            <w:r w:rsidR="00264B33" w:rsidRPr="00264B33">
              <w:rPr>
                <w:noProof/>
                <w:webHidden/>
                <w:sz w:val="22"/>
                <w:szCs w:val="28"/>
              </w:rPr>
              <w:tab/>
            </w:r>
            <w:r w:rsidR="00264B33" w:rsidRPr="00264B33">
              <w:rPr>
                <w:noProof/>
                <w:webHidden/>
                <w:sz w:val="22"/>
                <w:szCs w:val="28"/>
              </w:rPr>
              <w:fldChar w:fldCharType="begin"/>
            </w:r>
            <w:r w:rsidR="00264B33" w:rsidRPr="00264B33">
              <w:rPr>
                <w:noProof/>
                <w:webHidden/>
                <w:sz w:val="22"/>
                <w:szCs w:val="28"/>
              </w:rPr>
              <w:instrText xml:space="preserve"> PAGEREF _Toc127212925 \h </w:instrText>
            </w:r>
            <w:r w:rsidR="00264B33" w:rsidRPr="00264B33">
              <w:rPr>
                <w:noProof/>
                <w:webHidden/>
                <w:sz w:val="22"/>
                <w:szCs w:val="28"/>
              </w:rPr>
            </w:r>
            <w:r w:rsidR="00264B33" w:rsidRPr="00264B33">
              <w:rPr>
                <w:noProof/>
                <w:webHidden/>
                <w:sz w:val="22"/>
                <w:szCs w:val="28"/>
              </w:rPr>
              <w:fldChar w:fldCharType="separate"/>
            </w:r>
            <w:r>
              <w:rPr>
                <w:noProof/>
                <w:webHidden/>
                <w:sz w:val="22"/>
                <w:szCs w:val="28"/>
              </w:rPr>
              <w:t>10</w:t>
            </w:r>
            <w:r w:rsidR="00264B33" w:rsidRPr="00264B33">
              <w:rPr>
                <w:noProof/>
                <w:webHidden/>
                <w:sz w:val="22"/>
                <w:szCs w:val="28"/>
              </w:rPr>
              <w:fldChar w:fldCharType="end"/>
            </w:r>
          </w:hyperlink>
        </w:p>
        <w:p w14:paraId="0BE02D09" w14:textId="44163F03" w:rsidR="00264B33" w:rsidRPr="00264B33" w:rsidRDefault="00101A92">
          <w:pPr>
            <w:pStyle w:val="TOC2"/>
            <w:tabs>
              <w:tab w:val="right" w:leader="dot" w:pos="9249"/>
            </w:tabs>
            <w:rPr>
              <w:rFonts w:asciiTheme="minorHAnsi" w:eastAsiaTheme="minorEastAsia" w:hAnsiTheme="minorHAnsi" w:cstheme="minorBidi"/>
              <w:noProof/>
              <w:color w:val="auto"/>
              <w:kern w:val="0"/>
              <w:sz w:val="24"/>
              <w:lang w:val="en-CA" w:eastAsia="en-CA"/>
              <w14:ligatures w14:val="none"/>
            </w:rPr>
          </w:pPr>
          <w:hyperlink w:anchor="_Toc127212926" w:history="1">
            <w:r w:rsidR="00264B33" w:rsidRPr="00264B33">
              <w:rPr>
                <w:rStyle w:val="Hyperlink"/>
                <w:noProof/>
                <w:sz w:val="22"/>
                <w:szCs w:val="28"/>
              </w:rPr>
              <w:t>Révision du mandat</w:t>
            </w:r>
            <w:r w:rsidR="00264B33" w:rsidRPr="00264B33">
              <w:rPr>
                <w:noProof/>
                <w:webHidden/>
                <w:sz w:val="22"/>
                <w:szCs w:val="28"/>
              </w:rPr>
              <w:tab/>
            </w:r>
            <w:r w:rsidR="00264B33" w:rsidRPr="00264B33">
              <w:rPr>
                <w:noProof/>
                <w:webHidden/>
                <w:sz w:val="22"/>
                <w:szCs w:val="28"/>
              </w:rPr>
              <w:fldChar w:fldCharType="begin"/>
            </w:r>
            <w:r w:rsidR="00264B33" w:rsidRPr="00264B33">
              <w:rPr>
                <w:noProof/>
                <w:webHidden/>
                <w:sz w:val="22"/>
                <w:szCs w:val="28"/>
              </w:rPr>
              <w:instrText xml:space="preserve"> PAGEREF _Toc127212926 \h </w:instrText>
            </w:r>
            <w:r w:rsidR="00264B33" w:rsidRPr="00264B33">
              <w:rPr>
                <w:noProof/>
                <w:webHidden/>
                <w:sz w:val="22"/>
                <w:szCs w:val="28"/>
              </w:rPr>
            </w:r>
            <w:r w:rsidR="00264B33" w:rsidRPr="00264B33">
              <w:rPr>
                <w:noProof/>
                <w:webHidden/>
                <w:sz w:val="22"/>
                <w:szCs w:val="28"/>
              </w:rPr>
              <w:fldChar w:fldCharType="separate"/>
            </w:r>
            <w:r>
              <w:rPr>
                <w:noProof/>
                <w:webHidden/>
                <w:sz w:val="22"/>
                <w:szCs w:val="28"/>
              </w:rPr>
              <w:t>10</w:t>
            </w:r>
            <w:r w:rsidR="00264B33" w:rsidRPr="00264B33">
              <w:rPr>
                <w:noProof/>
                <w:webHidden/>
                <w:sz w:val="22"/>
                <w:szCs w:val="28"/>
              </w:rPr>
              <w:fldChar w:fldCharType="end"/>
            </w:r>
          </w:hyperlink>
        </w:p>
        <w:p w14:paraId="322C6200" w14:textId="48A12DA7" w:rsidR="00264B33" w:rsidRPr="00264B33" w:rsidRDefault="00101A92">
          <w:pPr>
            <w:pStyle w:val="TOC1"/>
            <w:tabs>
              <w:tab w:val="right" w:leader="dot" w:pos="9249"/>
            </w:tabs>
            <w:rPr>
              <w:rFonts w:asciiTheme="minorHAnsi" w:eastAsiaTheme="minorEastAsia" w:hAnsiTheme="minorHAnsi" w:cstheme="minorBidi"/>
              <w:noProof/>
              <w:color w:val="auto"/>
              <w:kern w:val="0"/>
              <w:sz w:val="24"/>
              <w:lang w:val="en-CA" w:eastAsia="en-CA"/>
              <w14:ligatures w14:val="none"/>
            </w:rPr>
          </w:pPr>
          <w:hyperlink w:anchor="_Toc127212927" w:history="1">
            <w:r w:rsidR="00264B33" w:rsidRPr="00264B33">
              <w:rPr>
                <w:rStyle w:val="Hyperlink"/>
                <w:noProof/>
                <w:sz w:val="22"/>
                <w:szCs w:val="28"/>
              </w:rPr>
              <w:t>Glossaire</w:t>
            </w:r>
            <w:r w:rsidR="00264B33" w:rsidRPr="00264B33">
              <w:rPr>
                <w:noProof/>
                <w:webHidden/>
                <w:sz w:val="22"/>
                <w:szCs w:val="28"/>
              </w:rPr>
              <w:tab/>
            </w:r>
            <w:r w:rsidR="00264B33" w:rsidRPr="00264B33">
              <w:rPr>
                <w:noProof/>
                <w:webHidden/>
                <w:sz w:val="22"/>
                <w:szCs w:val="28"/>
              </w:rPr>
              <w:fldChar w:fldCharType="begin"/>
            </w:r>
            <w:r w:rsidR="00264B33" w:rsidRPr="00264B33">
              <w:rPr>
                <w:noProof/>
                <w:webHidden/>
                <w:sz w:val="22"/>
                <w:szCs w:val="28"/>
              </w:rPr>
              <w:instrText xml:space="preserve"> PAGEREF _Toc127212927 \h </w:instrText>
            </w:r>
            <w:r w:rsidR="00264B33" w:rsidRPr="00264B33">
              <w:rPr>
                <w:noProof/>
                <w:webHidden/>
                <w:sz w:val="22"/>
                <w:szCs w:val="28"/>
              </w:rPr>
            </w:r>
            <w:r w:rsidR="00264B33" w:rsidRPr="00264B33">
              <w:rPr>
                <w:noProof/>
                <w:webHidden/>
                <w:sz w:val="22"/>
                <w:szCs w:val="28"/>
              </w:rPr>
              <w:fldChar w:fldCharType="separate"/>
            </w:r>
            <w:r>
              <w:rPr>
                <w:noProof/>
                <w:webHidden/>
                <w:sz w:val="22"/>
                <w:szCs w:val="28"/>
              </w:rPr>
              <w:t>11</w:t>
            </w:r>
            <w:r w:rsidR="00264B33" w:rsidRPr="00264B33">
              <w:rPr>
                <w:noProof/>
                <w:webHidden/>
                <w:sz w:val="22"/>
                <w:szCs w:val="28"/>
              </w:rPr>
              <w:fldChar w:fldCharType="end"/>
            </w:r>
          </w:hyperlink>
        </w:p>
        <w:p w14:paraId="58F53692" w14:textId="6BB86886" w:rsidR="00B2226A" w:rsidRPr="00B2226A" w:rsidRDefault="00B2226A">
          <w:pPr>
            <w:rPr>
              <w:rFonts w:ascii="Arial" w:hAnsi="Arial" w:cs="Arial"/>
              <w:lang w:val="en-CA"/>
            </w:rPr>
          </w:pPr>
          <w:r w:rsidRPr="00264B33">
            <w:rPr>
              <w:rFonts w:ascii="Arial" w:hAnsi="Arial" w:cs="Arial"/>
              <w:b/>
              <w:bCs/>
              <w:noProof/>
              <w:sz w:val="24"/>
              <w:szCs w:val="32"/>
            </w:rPr>
            <w:fldChar w:fldCharType="end"/>
          </w:r>
        </w:p>
      </w:sdtContent>
    </w:sdt>
    <w:p w14:paraId="169920DF" w14:textId="77777777" w:rsidR="000453B5" w:rsidRPr="00B2226A" w:rsidRDefault="000453B5" w:rsidP="004B7969">
      <w:pPr>
        <w:pStyle w:val="NoSpacing"/>
        <w:rPr>
          <w:rFonts w:ascii="Arial" w:hAnsi="Arial" w:cs="Arial"/>
          <w:sz w:val="28"/>
          <w:szCs w:val="28"/>
          <w:lang w:val="en-CA"/>
        </w:rPr>
      </w:pPr>
    </w:p>
    <w:p w14:paraId="2034FE7F" w14:textId="77777777" w:rsidR="00F41F01" w:rsidRDefault="00F41F01">
      <w:pPr>
        <w:rPr>
          <w:rFonts w:ascii="Arial" w:hAnsi="Arial" w:cs="Arial"/>
          <w:b/>
          <w:smallCaps/>
          <w:sz w:val="32"/>
          <w:szCs w:val="20"/>
          <w:lang w:val="en-CA"/>
        </w:rPr>
      </w:pPr>
      <w:r>
        <w:rPr>
          <w:rFonts w:cs="Arial"/>
          <w:lang w:val="en-CA"/>
        </w:rPr>
        <w:br w:type="page"/>
      </w:r>
    </w:p>
    <w:p w14:paraId="24451A8A" w14:textId="6884299E" w:rsidR="004B7969" w:rsidRPr="007E7A7E" w:rsidRDefault="007E7A7E" w:rsidP="00B2226A">
      <w:pPr>
        <w:pStyle w:val="Heading1"/>
        <w:rPr>
          <w:rFonts w:cs="Arial"/>
        </w:rPr>
      </w:pPr>
      <w:bookmarkStart w:id="0" w:name="_Toc127212918"/>
      <w:r w:rsidRPr="007E7A7E">
        <w:rPr>
          <w:rFonts w:cs="Arial"/>
        </w:rPr>
        <w:lastRenderedPageBreak/>
        <w:t>Préambule</w:t>
      </w:r>
      <w:bookmarkEnd w:id="0"/>
    </w:p>
    <w:p w14:paraId="0A17D496" w14:textId="77777777" w:rsidR="004B7969" w:rsidRPr="007E7A7E" w:rsidRDefault="004B7969" w:rsidP="004B7969">
      <w:pPr>
        <w:pStyle w:val="NoSpacing"/>
        <w:rPr>
          <w:rFonts w:ascii="Arial" w:hAnsi="Arial" w:cs="Arial"/>
          <w:sz w:val="28"/>
          <w:szCs w:val="28"/>
          <w:lang w:val="fr-CA"/>
        </w:rPr>
      </w:pPr>
    </w:p>
    <w:p w14:paraId="60BB3EEF" w14:textId="6BDF9932" w:rsidR="004B7969" w:rsidRDefault="007E7A7E" w:rsidP="004B7969">
      <w:pPr>
        <w:pStyle w:val="NoSpacing"/>
        <w:rPr>
          <w:rFonts w:ascii="Arial" w:hAnsi="Arial" w:cs="Arial"/>
          <w:sz w:val="24"/>
          <w:szCs w:val="24"/>
          <w:lang w:val="fr-CA"/>
        </w:rPr>
      </w:pPr>
      <w:r w:rsidRPr="007E7A7E">
        <w:rPr>
          <w:rFonts w:ascii="Arial" w:hAnsi="Arial" w:cs="Arial"/>
          <w:sz w:val="24"/>
          <w:szCs w:val="24"/>
          <w:lang w:val="fr-CA"/>
        </w:rPr>
        <w:t>Le groupe de</w:t>
      </w:r>
      <w:r>
        <w:rPr>
          <w:rFonts w:ascii="Arial" w:hAnsi="Arial" w:cs="Arial"/>
          <w:sz w:val="24"/>
          <w:szCs w:val="24"/>
          <w:lang w:val="fr-CA"/>
        </w:rPr>
        <w:t xml:space="preserve">s cadres supérieurs </w:t>
      </w:r>
      <w:r w:rsidRPr="007E7A7E">
        <w:rPr>
          <w:rFonts w:ascii="Arial" w:hAnsi="Arial" w:cs="Arial"/>
          <w:sz w:val="24"/>
          <w:szCs w:val="24"/>
          <w:lang w:val="fr-CA"/>
        </w:rPr>
        <w:t>est composé de plus de 8 500</w:t>
      </w:r>
      <w:r w:rsidR="001C7F0A">
        <w:rPr>
          <w:rStyle w:val="FootnoteReference"/>
          <w:rFonts w:ascii="Arial" w:hAnsi="Arial" w:cs="Arial"/>
          <w:sz w:val="24"/>
          <w:szCs w:val="24"/>
          <w:lang w:val="fr-CA"/>
        </w:rPr>
        <w:footnoteReference w:id="1"/>
      </w:r>
      <w:r w:rsidRPr="007E7A7E">
        <w:rPr>
          <w:rFonts w:ascii="Arial" w:hAnsi="Arial" w:cs="Arial"/>
          <w:sz w:val="24"/>
          <w:szCs w:val="24"/>
          <w:lang w:val="fr-CA"/>
        </w:rPr>
        <w:t xml:space="preserve"> personnes </w:t>
      </w:r>
      <w:r w:rsidR="007C690F">
        <w:rPr>
          <w:rFonts w:ascii="Arial" w:hAnsi="Arial" w:cs="Arial"/>
          <w:sz w:val="24"/>
          <w:szCs w:val="24"/>
          <w:lang w:val="fr-CA"/>
        </w:rPr>
        <w:t xml:space="preserve">qui occupent des rôles importants et </w:t>
      </w:r>
      <w:r w:rsidR="001F22BE">
        <w:rPr>
          <w:rFonts w:ascii="Arial" w:hAnsi="Arial" w:cs="Arial"/>
          <w:sz w:val="24"/>
          <w:szCs w:val="24"/>
          <w:lang w:val="fr-CA"/>
        </w:rPr>
        <w:t>exercent</w:t>
      </w:r>
      <w:r w:rsidR="007C690F">
        <w:rPr>
          <w:rFonts w:ascii="Arial" w:hAnsi="Arial" w:cs="Arial"/>
          <w:sz w:val="24"/>
          <w:szCs w:val="24"/>
          <w:lang w:val="fr-CA"/>
        </w:rPr>
        <w:t xml:space="preserve"> des responsabilités considérables </w:t>
      </w:r>
      <w:r w:rsidRPr="007E7A7E">
        <w:rPr>
          <w:rFonts w:ascii="Arial" w:hAnsi="Arial" w:cs="Arial"/>
          <w:sz w:val="24"/>
          <w:szCs w:val="24"/>
          <w:lang w:val="fr-CA"/>
        </w:rPr>
        <w:t>en matière de gestion ou de politiques</w:t>
      </w:r>
      <w:r w:rsidR="007C690F">
        <w:rPr>
          <w:rFonts w:ascii="Arial" w:hAnsi="Arial" w:cs="Arial"/>
          <w:sz w:val="24"/>
          <w:szCs w:val="24"/>
          <w:lang w:val="fr-CA"/>
        </w:rPr>
        <w:t xml:space="preserve">. Ils influencent </w:t>
      </w:r>
      <w:r w:rsidRPr="007E7A7E">
        <w:rPr>
          <w:rFonts w:ascii="Arial" w:hAnsi="Arial" w:cs="Arial"/>
          <w:sz w:val="24"/>
          <w:szCs w:val="24"/>
          <w:lang w:val="fr-CA"/>
        </w:rPr>
        <w:t xml:space="preserve">l’orientation de 89 ministères et </w:t>
      </w:r>
      <w:r w:rsidR="007C690F">
        <w:rPr>
          <w:rFonts w:ascii="Arial" w:hAnsi="Arial" w:cs="Arial"/>
          <w:sz w:val="24"/>
          <w:szCs w:val="24"/>
          <w:lang w:val="fr-CA"/>
        </w:rPr>
        <w:t>agences</w:t>
      </w:r>
      <w:r w:rsidRPr="007E7A7E">
        <w:rPr>
          <w:rFonts w:ascii="Arial" w:hAnsi="Arial" w:cs="Arial"/>
          <w:sz w:val="24"/>
          <w:szCs w:val="24"/>
          <w:lang w:val="fr-CA"/>
        </w:rPr>
        <w:t xml:space="preserve"> du gouvernement du Canada. Les </w:t>
      </w:r>
      <w:r w:rsidR="007C690F">
        <w:rPr>
          <w:rFonts w:ascii="Arial" w:hAnsi="Arial" w:cs="Arial"/>
          <w:sz w:val="24"/>
          <w:szCs w:val="24"/>
          <w:lang w:val="fr-CA"/>
        </w:rPr>
        <w:t>titulaires</w:t>
      </w:r>
      <w:r w:rsidRPr="007E7A7E">
        <w:rPr>
          <w:rFonts w:ascii="Arial" w:hAnsi="Arial" w:cs="Arial"/>
          <w:sz w:val="24"/>
          <w:szCs w:val="24"/>
          <w:lang w:val="fr-CA"/>
        </w:rPr>
        <w:t xml:space="preserve"> de ce</w:t>
      </w:r>
      <w:r w:rsidR="007C690F">
        <w:rPr>
          <w:rFonts w:ascii="Arial" w:hAnsi="Arial" w:cs="Arial"/>
          <w:sz w:val="24"/>
          <w:szCs w:val="24"/>
          <w:lang w:val="fr-CA"/>
        </w:rPr>
        <w:t>s postes</w:t>
      </w:r>
      <w:r w:rsidRPr="007E7A7E">
        <w:rPr>
          <w:rFonts w:ascii="Arial" w:hAnsi="Arial" w:cs="Arial"/>
          <w:sz w:val="24"/>
          <w:szCs w:val="24"/>
          <w:lang w:val="fr-CA"/>
        </w:rPr>
        <w:t xml:space="preserve"> </w:t>
      </w:r>
      <w:r w:rsidR="0046552B">
        <w:rPr>
          <w:rFonts w:ascii="Arial" w:hAnsi="Arial" w:cs="Arial"/>
          <w:sz w:val="24"/>
          <w:szCs w:val="24"/>
          <w:lang w:val="fr-CA"/>
        </w:rPr>
        <w:t xml:space="preserve">ont la responsabilité et l’imputabilité liées à l’exercice de l’autorité de gestion supérieure </w:t>
      </w:r>
      <w:r w:rsidRPr="007E7A7E">
        <w:rPr>
          <w:rFonts w:ascii="Arial" w:hAnsi="Arial" w:cs="Arial"/>
          <w:sz w:val="24"/>
          <w:szCs w:val="24"/>
          <w:lang w:val="fr-CA"/>
        </w:rPr>
        <w:t>sur 327 451</w:t>
      </w:r>
      <w:r w:rsidR="001C7F0A">
        <w:rPr>
          <w:rStyle w:val="FootnoteReference"/>
          <w:rFonts w:ascii="Arial" w:hAnsi="Arial" w:cs="Arial"/>
          <w:sz w:val="24"/>
          <w:szCs w:val="24"/>
          <w:lang w:val="fr-CA"/>
        </w:rPr>
        <w:footnoteReference w:id="2"/>
      </w:r>
      <w:r w:rsidRPr="007E7A7E">
        <w:rPr>
          <w:rFonts w:ascii="Arial" w:hAnsi="Arial" w:cs="Arial"/>
          <w:sz w:val="24"/>
          <w:szCs w:val="24"/>
          <w:lang w:val="fr-CA"/>
        </w:rPr>
        <w:t xml:space="preserve"> employés</w:t>
      </w:r>
      <w:r w:rsidR="00E5273C">
        <w:rPr>
          <w:rFonts w:ascii="Arial" w:hAnsi="Arial" w:cs="Arial"/>
          <w:sz w:val="24"/>
          <w:szCs w:val="24"/>
          <w:lang w:val="fr-CA"/>
        </w:rPr>
        <w:t>,</w:t>
      </w:r>
      <w:r w:rsidRPr="007E7A7E">
        <w:rPr>
          <w:rFonts w:ascii="Arial" w:hAnsi="Arial" w:cs="Arial"/>
          <w:sz w:val="24"/>
          <w:szCs w:val="24"/>
          <w:lang w:val="fr-CA"/>
        </w:rPr>
        <w:t xml:space="preserve"> et </w:t>
      </w:r>
      <w:r w:rsidR="0046552B">
        <w:rPr>
          <w:rFonts w:ascii="Arial" w:hAnsi="Arial" w:cs="Arial"/>
          <w:sz w:val="24"/>
          <w:szCs w:val="24"/>
          <w:lang w:val="fr-CA"/>
        </w:rPr>
        <w:t xml:space="preserve">fournissent </w:t>
      </w:r>
      <w:r w:rsidRPr="007E7A7E">
        <w:rPr>
          <w:rFonts w:ascii="Arial" w:hAnsi="Arial" w:cs="Arial"/>
          <w:sz w:val="24"/>
          <w:szCs w:val="24"/>
          <w:lang w:val="fr-CA"/>
        </w:rPr>
        <w:t xml:space="preserve">des recommandations et des conseils </w:t>
      </w:r>
      <w:r w:rsidR="0046552B">
        <w:rPr>
          <w:rFonts w:ascii="Arial" w:hAnsi="Arial" w:cs="Arial"/>
          <w:sz w:val="24"/>
          <w:szCs w:val="24"/>
          <w:lang w:val="fr-CA"/>
        </w:rPr>
        <w:t>relativement à cette autorité</w:t>
      </w:r>
      <w:r w:rsidRPr="007E7A7E">
        <w:rPr>
          <w:rFonts w:ascii="Arial" w:hAnsi="Arial" w:cs="Arial"/>
          <w:sz w:val="24"/>
          <w:szCs w:val="24"/>
          <w:lang w:val="fr-CA"/>
        </w:rPr>
        <w:t>.</w:t>
      </w:r>
    </w:p>
    <w:p w14:paraId="7F707475" w14:textId="77777777" w:rsidR="007E7A7E" w:rsidRPr="007E7A7E" w:rsidRDefault="007E7A7E" w:rsidP="004B7969">
      <w:pPr>
        <w:pStyle w:val="NoSpacing"/>
        <w:rPr>
          <w:rFonts w:ascii="Arial" w:hAnsi="Arial" w:cs="Arial"/>
          <w:sz w:val="24"/>
          <w:szCs w:val="24"/>
          <w:lang w:val="fr-CA"/>
        </w:rPr>
      </w:pPr>
    </w:p>
    <w:p w14:paraId="05B219D1" w14:textId="023A19D2" w:rsidR="00964C62" w:rsidRPr="00964C62" w:rsidRDefault="00BB3BFC" w:rsidP="004B7969">
      <w:pPr>
        <w:pStyle w:val="NoSpacing"/>
        <w:rPr>
          <w:rFonts w:ascii="Arial" w:hAnsi="Arial" w:cs="Arial"/>
          <w:sz w:val="24"/>
          <w:szCs w:val="24"/>
          <w:lang w:val="fr-CA"/>
        </w:rPr>
      </w:pPr>
      <w:bookmarkStart w:id="1" w:name="_Hlk126914319"/>
      <w:r w:rsidRPr="00BB3BFC">
        <w:rPr>
          <w:rFonts w:ascii="Arial" w:hAnsi="Arial" w:cs="Arial"/>
          <w:sz w:val="24"/>
          <w:szCs w:val="24"/>
          <w:lang w:val="fr-CA"/>
        </w:rPr>
        <w:t>Ces cadres supérieurs sont essentiels à la bonne gestion et aux opérations de la fonction publique</w:t>
      </w:r>
      <w:r w:rsidR="001F22BE">
        <w:rPr>
          <w:rFonts w:ascii="Arial" w:hAnsi="Arial" w:cs="Arial"/>
          <w:sz w:val="24"/>
          <w:szCs w:val="24"/>
          <w:lang w:val="fr-CA"/>
        </w:rPr>
        <w:t>,</w:t>
      </w:r>
      <w:r w:rsidRPr="00BB3BFC">
        <w:rPr>
          <w:rFonts w:ascii="Arial" w:hAnsi="Arial" w:cs="Arial"/>
          <w:sz w:val="24"/>
          <w:szCs w:val="24"/>
          <w:lang w:val="fr-CA"/>
        </w:rPr>
        <w:t xml:space="preserve"> ainsi qu'à la prestation des programmes et des services offerts aux Canadiens. </w:t>
      </w:r>
      <w:r w:rsidR="00964C62" w:rsidRPr="00964C62">
        <w:rPr>
          <w:rFonts w:ascii="Arial" w:hAnsi="Arial" w:cs="Arial"/>
          <w:sz w:val="24"/>
          <w:szCs w:val="24"/>
          <w:lang w:val="fr-CA"/>
        </w:rPr>
        <w:t xml:space="preserve">Ils </w:t>
      </w:r>
      <w:r w:rsidR="00964C62">
        <w:rPr>
          <w:rFonts w:ascii="Arial" w:hAnsi="Arial" w:cs="Arial"/>
          <w:sz w:val="24"/>
          <w:szCs w:val="24"/>
          <w:lang w:val="fr-CA"/>
        </w:rPr>
        <w:t>jouent</w:t>
      </w:r>
      <w:r w:rsidR="00964C62" w:rsidRPr="00964C62">
        <w:rPr>
          <w:rFonts w:ascii="Arial" w:hAnsi="Arial" w:cs="Arial"/>
          <w:sz w:val="24"/>
          <w:szCs w:val="24"/>
          <w:lang w:val="fr-CA"/>
        </w:rPr>
        <w:t xml:space="preserve"> un rôle capital </w:t>
      </w:r>
      <w:r w:rsidR="00964C62">
        <w:rPr>
          <w:rFonts w:ascii="Arial" w:hAnsi="Arial" w:cs="Arial"/>
          <w:sz w:val="24"/>
          <w:szCs w:val="24"/>
          <w:lang w:val="fr-CA"/>
        </w:rPr>
        <w:t xml:space="preserve">pour assurer le succès </w:t>
      </w:r>
      <w:r w:rsidR="00964C62" w:rsidRPr="00964C62">
        <w:rPr>
          <w:rFonts w:ascii="Arial" w:hAnsi="Arial" w:cs="Arial"/>
          <w:sz w:val="24"/>
          <w:szCs w:val="24"/>
          <w:lang w:val="fr-CA"/>
        </w:rPr>
        <w:t>de la fonction publique en gérant des dizaines de milliards de dollars en programmes de prestations pour les Canadiens</w:t>
      </w:r>
      <w:r w:rsidR="002F358C">
        <w:rPr>
          <w:rFonts w:ascii="Arial" w:hAnsi="Arial" w:cs="Arial"/>
          <w:sz w:val="24"/>
          <w:szCs w:val="24"/>
          <w:lang w:val="fr-CA"/>
        </w:rPr>
        <w:t>,</w:t>
      </w:r>
      <w:r w:rsidR="00964C62" w:rsidRPr="00964C62">
        <w:rPr>
          <w:rFonts w:ascii="Arial" w:hAnsi="Arial" w:cs="Arial"/>
          <w:sz w:val="24"/>
          <w:szCs w:val="24"/>
          <w:lang w:val="fr-CA"/>
        </w:rPr>
        <w:t xml:space="preserve"> </w:t>
      </w:r>
      <w:r w:rsidR="002F358C">
        <w:rPr>
          <w:rFonts w:ascii="Arial" w:hAnsi="Arial" w:cs="Arial"/>
          <w:sz w:val="24"/>
          <w:szCs w:val="24"/>
          <w:lang w:val="fr-CA"/>
        </w:rPr>
        <w:t xml:space="preserve">en garantissant une traversée sûre et ordonnée des frontières pour des millions de voyageurs et des milliards de </w:t>
      </w:r>
      <w:r w:rsidR="0017763D">
        <w:rPr>
          <w:rFonts w:ascii="Arial" w:hAnsi="Arial" w:cs="Arial"/>
          <w:sz w:val="24"/>
          <w:szCs w:val="24"/>
          <w:lang w:val="fr-CA"/>
        </w:rPr>
        <w:t xml:space="preserve">dollars de </w:t>
      </w:r>
      <w:r w:rsidR="002F358C">
        <w:rPr>
          <w:rFonts w:ascii="Arial" w:hAnsi="Arial" w:cs="Arial"/>
          <w:sz w:val="24"/>
          <w:szCs w:val="24"/>
          <w:lang w:val="fr-CA"/>
        </w:rPr>
        <w:t xml:space="preserve">marchandises, en assurant </w:t>
      </w:r>
      <w:r w:rsidR="00964C62" w:rsidRPr="00964C62">
        <w:rPr>
          <w:rFonts w:ascii="Arial" w:hAnsi="Arial" w:cs="Arial"/>
          <w:sz w:val="24"/>
          <w:szCs w:val="24"/>
          <w:lang w:val="fr-CA"/>
        </w:rPr>
        <w:t xml:space="preserve">la sécurité des Canadiens, </w:t>
      </w:r>
      <w:r w:rsidR="009D0DED">
        <w:rPr>
          <w:rFonts w:ascii="Arial" w:hAnsi="Arial" w:cs="Arial"/>
          <w:sz w:val="24"/>
          <w:szCs w:val="24"/>
          <w:lang w:val="fr-CA"/>
        </w:rPr>
        <w:t xml:space="preserve">et </w:t>
      </w:r>
      <w:r w:rsidR="00964C62" w:rsidRPr="00964C62">
        <w:rPr>
          <w:rFonts w:ascii="Arial" w:hAnsi="Arial" w:cs="Arial"/>
          <w:sz w:val="24"/>
          <w:szCs w:val="24"/>
          <w:lang w:val="fr-CA"/>
        </w:rPr>
        <w:t>en percevant des centaines de milliards de dollars en recettes fiscales qui assurent la stabilité des programmes gouvernementaux</w:t>
      </w:r>
      <w:r w:rsidR="00A368EF">
        <w:rPr>
          <w:rFonts w:ascii="Arial" w:hAnsi="Arial" w:cs="Arial"/>
          <w:sz w:val="24"/>
          <w:szCs w:val="24"/>
          <w:lang w:val="fr-CA"/>
        </w:rPr>
        <w:t xml:space="preserve">. Ils négocient et </w:t>
      </w:r>
      <w:r w:rsidR="001F22BE">
        <w:rPr>
          <w:rFonts w:ascii="Arial" w:hAnsi="Arial" w:cs="Arial"/>
          <w:sz w:val="24"/>
          <w:szCs w:val="24"/>
          <w:lang w:val="fr-CA"/>
        </w:rPr>
        <w:t>gèrent</w:t>
      </w:r>
      <w:r w:rsidR="00A368EF">
        <w:rPr>
          <w:rFonts w:ascii="Arial" w:hAnsi="Arial" w:cs="Arial"/>
          <w:sz w:val="24"/>
          <w:szCs w:val="24"/>
          <w:lang w:val="fr-CA"/>
        </w:rPr>
        <w:t xml:space="preserve"> </w:t>
      </w:r>
      <w:r w:rsidR="00964C62" w:rsidRPr="00964C62">
        <w:rPr>
          <w:rFonts w:ascii="Arial" w:hAnsi="Arial" w:cs="Arial"/>
          <w:sz w:val="24"/>
          <w:szCs w:val="24"/>
          <w:lang w:val="fr-CA"/>
        </w:rPr>
        <w:t>de nombreux accords commerciaux, facilite</w:t>
      </w:r>
      <w:r w:rsidR="00A368EF">
        <w:rPr>
          <w:rFonts w:ascii="Arial" w:hAnsi="Arial" w:cs="Arial"/>
          <w:sz w:val="24"/>
          <w:szCs w:val="24"/>
          <w:lang w:val="fr-CA"/>
        </w:rPr>
        <w:t>nt</w:t>
      </w:r>
      <w:r w:rsidR="00964C62" w:rsidRPr="00964C62">
        <w:rPr>
          <w:rFonts w:ascii="Arial" w:hAnsi="Arial" w:cs="Arial"/>
          <w:sz w:val="24"/>
          <w:szCs w:val="24"/>
          <w:lang w:val="fr-CA"/>
        </w:rPr>
        <w:t xml:space="preserve"> le transfert de milliards de dollars à l'appui des provinces et des territoires par le biais du Transfert canadien en matière de santé, du Transfert canadien en matière de programmes sociaux, de la péréquation et de la formule de financement des territoires</w:t>
      </w:r>
      <w:r w:rsidR="00E37A21">
        <w:rPr>
          <w:rFonts w:ascii="Arial" w:hAnsi="Arial" w:cs="Arial"/>
          <w:sz w:val="24"/>
          <w:szCs w:val="24"/>
          <w:lang w:val="fr-CA"/>
        </w:rPr>
        <w:t xml:space="preserve">. Et, </w:t>
      </w:r>
      <w:r w:rsidR="00964C62" w:rsidRPr="00964C62">
        <w:rPr>
          <w:rFonts w:ascii="Arial" w:hAnsi="Arial" w:cs="Arial"/>
          <w:sz w:val="24"/>
          <w:szCs w:val="24"/>
          <w:lang w:val="fr-CA"/>
        </w:rPr>
        <w:t xml:space="preserve">pendant la pandémie de </w:t>
      </w:r>
      <w:r w:rsidR="00E37A21">
        <w:rPr>
          <w:rFonts w:ascii="Arial" w:hAnsi="Arial" w:cs="Arial"/>
          <w:sz w:val="24"/>
          <w:szCs w:val="24"/>
          <w:lang w:val="fr-CA"/>
        </w:rPr>
        <w:t>COVID</w:t>
      </w:r>
      <w:r w:rsidR="00964C62" w:rsidRPr="00964C62">
        <w:rPr>
          <w:rFonts w:ascii="Arial" w:hAnsi="Arial" w:cs="Arial"/>
          <w:sz w:val="24"/>
          <w:szCs w:val="24"/>
          <w:lang w:val="fr-CA"/>
        </w:rPr>
        <w:t xml:space="preserve">, </w:t>
      </w:r>
      <w:r w:rsidR="00E37A21">
        <w:rPr>
          <w:rFonts w:ascii="Arial" w:hAnsi="Arial" w:cs="Arial"/>
          <w:sz w:val="24"/>
          <w:szCs w:val="24"/>
          <w:lang w:val="fr-CA"/>
        </w:rPr>
        <w:t xml:space="preserve">ils ont </w:t>
      </w:r>
      <w:r w:rsidR="00AE5603">
        <w:rPr>
          <w:rFonts w:ascii="Arial" w:hAnsi="Arial" w:cs="Arial"/>
          <w:sz w:val="24"/>
          <w:szCs w:val="24"/>
          <w:lang w:val="fr-CA"/>
        </w:rPr>
        <w:t>acquis</w:t>
      </w:r>
      <w:r w:rsidR="00E37A21">
        <w:rPr>
          <w:rFonts w:ascii="Arial" w:hAnsi="Arial" w:cs="Arial"/>
          <w:sz w:val="24"/>
          <w:szCs w:val="24"/>
          <w:lang w:val="fr-CA"/>
        </w:rPr>
        <w:t xml:space="preserve"> et distribué </w:t>
      </w:r>
      <w:r w:rsidR="00964C62" w:rsidRPr="00964C62">
        <w:rPr>
          <w:rFonts w:ascii="Arial" w:hAnsi="Arial" w:cs="Arial"/>
          <w:sz w:val="24"/>
          <w:szCs w:val="24"/>
          <w:lang w:val="fr-CA"/>
        </w:rPr>
        <w:t xml:space="preserve">suffisamment de vaccins pour tous les Canadiens. </w:t>
      </w:r>
      <w:r w:rsidR="00BB63AB">
        <w:rPr>
          <w:rFonts w:ascii="Arial" w:hAnsi="Arial" w:cs="Arial"/>
          <w:sz w:val="24"/>
          <w:szCs w:val="24"/>
          <w:lang w:val="fr-CA"/>
        </w:rPr>
        <w:t>L’importance</w:t>
      </w:r>
      <w:r w:rsidR="00964C62" w:rsidRPr="00964C62">
        <w:rPr>
          <w:rFonts w:ascii="Arial" w:hAnsi="Arial" w:cs="Arial"/>
          <w:sz w:val="24"/>
          <w:szCs w:val="24"/>
          <w:lang w:val="fr-CA"/>
        </w:rPr>
        <w:t xml:space="preserve"> du </w:t>
      </w:r>
      <w:r w:rsidR="00E37A21">
        <w:rPr>
          <w:rFonts w:ascii="Arial" w:hAnsi="Arial" w:cs="Arial"/>
          <w:sz w:val="24"/>
          <w:szCs w:val="24"/>
          <w:lang w:val="fr-CA"/>
        </w:rPr>
        <w:t xml:space="preserve">groupe des cadres supérieurs </w:t>
      </w:r>
      <w:r w:rsidR="00BB63AB">
        <w:rPr>
          <w:rFonts w:ascii="Arial" w:hAnsi="Arial" w:cs="Arial"/>
          <w:sz w:val="24"/>
          <w:szCs w:val="24"/>
          <w:lang w:val="fr-CA"/>
        </w:rPr>
        <w:t>est</w:t>
      </w:r>
      <w:r w:rsidR="00964C62" w:rsidRPr="00964C62">
        <w:rPr>
          <w:rFonts w:ascii="Arial" w:hAnsi="Arial" w:cs="Arial"/>
          <w:sz w:val="24"/>
          <w:szCs w:val="24"/>
          <w:lang w:val="fr-CA"/>
        </w:rPr>
        <w:t xml:space="preserve"> incont</w:t>
      </w:r>
      <w:r w:rsidR="00E37A21">
        <w:rPr>
          <w:rFonts w:ascii="Arial" w:hAnsi="Arial" w:cs="Arial"/>
          <w:sz w:val="24"/>
          <w:szCs w:val="24"/>
          <w:lang w:val="fr-CA"/>
        </w:rPr>
        <w:t>estable</w:t>
      </w:r>
      <w:r w:rsidR="00BB63AB">
        <w:rPr>
          <w:rFonts w:ascii="Arial" w:hAnsi="Arial" w:cs="Arial"/>
          <w:sz w:val="24"/>
          <w:szCs w:val="24"/>
          <w:lang w:val="fr-CA"/>
        </w:rPr>
        <w:t xml:space="preserve"> </w:t>
      </w:r>
      <w:r w:rsidR="00964C62" w:rsidRPr="00964C62">
        <w:rPr>
          <w:rFonts w:ascii="Arial" w:hAnsi="Arial" w:cs="Arial"/>
          <w:sz w:val="24"/>
          <w:szCs w:val="24"/>
          <w:lang w:val="fr-CA"/>
        </w:rPr>
        <w:t xml:space="preserve">et </w:t>
      </w:r>
      <w:r w:rsidR="00E37A21">
        <w:rPr>
          <w:rFonts w:ascii="Arial" w:hAnsi="Arial" w:cs="Arial"/>
          <w:sz w:val="24"/>
          <w:szCs w:val="24"/>
          <w:lang w:val="fr-CA"/>
        </w:rPr>
        <w:t>demande</w:t>
      </w:r>
      <w:r w:rsidR="00964C62" w:rsidRPr="00964C62">
        <w:rPr>
          <w:rFonts w:ascii="Arial" w:hAnsi="Arial" w:cs="Arial"/>
          <w:sz w:val="24"/>
          <w:szCs w:val="24"/>
          <w:lang w:val="fr-CA"/>
        </w:rPr>
        <w:t xml:space="preserve"> une attention et un traitement à la hauteur de </w:t>
      </w:r>
      <w:r w:rsidR="00E37A21">
        <w:rPr>
          <w:rFonts w:ascii="Arial" w:hAnsi="Arial" w:cs="Arial"/>
          <w:sz w:val="24"/>
          <w:szCs w:val="24"/>
          <w:lang w:val="fr-CA"/>
        </w:rPr>
        <w:t>leur</w:t>
      </w:r>
      <w:r w:rsidR="00964C62" w:rsidRPr="00964C62">
        <w:rPr>
          <w:rFonts w:ascii="Arial" w:hAnsi="Arial" w:cs="Arial"/>
          <w:sz w:val="24"/>
          <w:szCs w:val="24"/>
          <w:lang w:val="fr-CA"/>
        </w:rPr>
        <w:t xml:space="preserve"> valeur pour le Canada et les Canadiens.  </w:t>
      </w:r>
    </w:p>
    <w:p w14:paraId="20C94015" w14:textId="77777777" w:rsidR="00964C62" w:rsidRDefault="00964C62" w:rsidP="004B7969">
      <w:pPr>
        <w:pStyle w:val="NoSpacing"/>
        <w:rPr>
          <w:rFonts w:ascii="Arial" w:hAnsi="Arial" w:cs="Arial"/>
          <w:sz w:val="24"/>
          <w:szCs w:val="24"/>
          <w:lang w:val="fr-CA"/>
        </w:rPr>
      </w:pPr>
    </w:p>
    <w:bookmarkEnd w:id="1"/>
    <w:p w14:paraId="4C3CA536" w14:textId="77777777" w:rsidR="00472728" w:rsidRDefault="00727A97" w:rsidP="004B7969">
      <w:pPr>
        <w:pStyle w:val="NoSpacing"/>
        <w:rPr>
          <w:rFonts w:ascii="Arial" w:hAnsi="Arial" w:cs="Arial"/>
          <w:sz w:val="24"/>
          <w:szCs w:val="24"/>
          <w:lang w:val="fr-CA"/>
        </w:rPr>
      </w:pPr>
      <w:r>
        <w:rPr>
          <w:rFonts w:ascii="Arial" w:hAnsi="Arial" w:cs="Arial"/>
          <w:sz w:val="24"/>
          <w:szCs w:val="24"/>
          <w:lang w:val="fr-CA"/>
        </w:rPr>
        <w:t>De 1997 à 2015, un c</w:t>
      </w:r>
      <w:r w:rsidRPr="00727A97">
        <w:rPr>
          <w:rFonts w:ascii="Arial" w:hAnsi="Arial" w:cs="Arial"/>
          <w:sz w:val="24"/>
          <w:szCs w:val="24"/>
          <w:lang w:val="fr-CA"/>
        </w:rPr>
        <w:t xml:space="preserve">omité consultatif </w:t>
      </w:r>
      <w:r>
        <w:rPr>
          <w:rFonts w:ascii="Arial" w:hAnsi="Arial" w:cs="Arial"/>
          <w:sz w:val="24"/>
          <w:szCs w:val="24"/>
          <w:lang w:val="fr-CA"/>
        </w:rPr>
        <w:t xml:space="preserve">externe </w:t>
      </w:r>
      <w:r w:rsidRPr="00727A97">
        <w:rPr>
          <w:rFonts w:ascii="Arial" w:hAnsi="Arial" w:cs="Arial"/>
          <w:sz w:val="24"/>
          <w:szCs w:val="24"/>
          <w:lang w:val="fr-CA"/>
        </w:rPr>
        <w:t xml:space="preserve">sur le maintien en poste et la rémunération </w:t>
      </w:r>
      <w:r>
        <w:rPr>
          <w:rFonts w:ascii="Arial" w:hAnsi="Arial" w:cs="Arial"/>
          <w:sz w:val="24"/>
          <w:szCs w:val="24"/>
          <w:lang w:val="fr-CA"/>
        </w:rPr>
        <w:t xml:space="preserve">des cadres supérieurs, </w:t>
      </w:r>
      <w:r w:rsidRPr="00727A97">
        <w:rPr>
          <w:rFonts w:ascii="Arial" w:hAnsi="Arial" w:cs="Arial"/>
          <w:sz w:val="24"/>
          <w:szCs w:val="24"/>
          <w:lang w:val="fr-CA"/>
        </w:rPr>
        <w:t xml:space="preserve">a fourni des conseils indépendants et spécialisés au gouvernement sur la rémunération globale des cadres supérieurs et des personnes nommées par le gouverneur en conseil, par l'intermédiaire du président du Conseil du Trésor. Le comité a tenu compte du contexte et de la nature du travail des cadres </w:t>
      </w:r>
      <w:r w:rsidRPr="00727A97">
        <w:rPr>
          <w:rFonts w:ascii="Arial" w:hAnsi="Arial" w:cs="Arial"/>
          <w:sz w:val="24"/>
          <w:szCs w:val="24"/>
          <w:lang w:val="fr-CA"/>
        </w:rPr>
        <w:lastRenderedPageBreak/>
        <w:t>supérieurs, ainsi que de la composition et de la taille des groupes de cadres supérieurs. Il a également tenu compte des principes et des stratégies de rémunération, des salaires, de la rémunération au rendement, des congés et autres avantages</w:t>
      </w:r>
      <w:r w:rsidR="00472728">
        <w:rPr>
          <w:rFonts w:ascii="Arial" w:hAnsi="Arial" w:cs="Arial"/>
          <w:sz w:val="24"/>
          <w:szCs w:val="24"/>
          <w:lang w:val="fr-CA"/>
        </w:rPr>
        <w:t xml:space="preserve"> sociaux</w:t>
      </w:r>
      <w:r w:rsidRPr="00727A97">
        <w:rPr>
          <w:rFonts w:ascii="Arial" w:hAnsi="Arial" w:cs="Arial"/>
          <w:sz w:val="24"/>
          <w:szCs w:val="24"/>
          <w:lang w:val="fr-CA"/>
        </w:rPr>
        <w:t xml:space="preserve">, ainsi que d'autres aspects de la gestion des ressources humaines pour établir les niveaux de rémunération </w:t>
      </w:r>
      <w:r w:rsidR="00472728">
        <w:rPr>
          <w:rFonts w:ascii="Arial" w:hAnsi="Arial" w:cs="Arial"/>
          <w:sz w:val="24"/>
          <w:szCs w:val="24"/>
          <w:lang w:val="fr-CA"/>
        </w:rPr>
        <w:t>globale</w:t>
      </w:r>
      <w:r w:rsidRPr="00727A97">
        <w:rPr>
          <w:rFonts w:ascii="Arial" w:hAnsi="Arial" w:cs="Arial"/>
          <w:sz w:val="24"/>
          <w:szCs w:val="24"/>
          <w:lang w:val="fr-CA"/>
        </w:rPr>
        <w:t xml:space="preserve"> des cadres supérieurs. </w:t>
      </w:r>
    </w:p>
    <w:p w14:paraId="4C21DAD4" w14:textId="77777777" w:rsidR="00472728" w:rsidRDefault="00472728" w:rsidP="004B7969">
      <w:pPr>
        <w:pStyle w:val="NoSpacing"/>
        <w:rPr>
          <w:rFonts w:ascii="Arial" w:hAnsi="Arial" w:cs="Arial"/>
          <w:sz w:val="24"/>
          <w:szCs w:val="24"/>
          <w:lang w:val="fr-CA"/>
        </w:rPr>
      </w:pPr>
    </w:p>
    <w:p w14:paraId="40C60F46" w14:textId="1D9D5E3A" w:rsidR="00727A97" w:rsidRPr="00727A97" w:rsidRDefault="00727A97" w:rsidP="004B7969">
      <w:pPr>
        <w:pStyle w:val="NoSpacing"/>
        <w:rPr>
          <w:rFonts w:ascii="Arial" w:hAnsi="Arial" w:cs="Arial"/>
          <w:sz w:val="24"/>
          <w:szCs w:val="24"/>
          <w:lang w:val="fr-CA"/>
        </w:rPr>
      </w:pPr>
      <w:r w:rsidRPr="00727A97">
        <w:rPr>
          <w:rFonts w:ascii="Arial" w:hAnsi="Arial" w:cs="Arial"/>
          <w:sz w:val="24"/>
          <w:szCs w:val="24"/>
          <w:lang w:val="fr-CA"/>
        </w:rPr>
        <w:t xml:space="preserve">L'Association professionnelle des cadres </w:t>
      </w:r>
      <w:r w:rsidR="00472728">
        <w:rPr>
          <w:rFonts w:ascii="Arial" w:hAnsi="Arial" w:cs="Arial"/>
          <w:sz w:val="24"/>
          <w:szCs w:val="24"/>
          <w:lang w:val="fr-CA"/>
        </w:rPr>
        <w:t xml:space="preserve">supérieurs de la fonction publique </w:t>
      </w:r>
      <w:r w:rsidRPr="00727A97">
        <w:rPr>
          <w:rFonts w:ascii="Arial" w:hAnsi="Arial" w:cs="Arial"/>
          <w:sz w:val="24"/>
          <w:szCs w:val="24"/>
          <w:lang w:val="fr-CA"/>
        </w:rPr>
        <w:t>du Canada (</w:t>
      </w:r>
      <w:r w:rsidR="00923225">
        <w:rPr>
          <w:rFonts w:ascii="Arial" w:hAnsi="Arial" w:cs="Arial"/>
          <w:sz w:val="24"/>
          <w:szCs w:val="24"/>
          <w:lang w:val="fr-CA"/>
        </w:rPr>
        <w:t>l’</w:t>
      </w:r>
      <w:r w:rsidRPr="00727A97">
        <w:rPr>
          <w:rFonts w:ascii="Arial" w:hAnsi="Arial" w:cs="Arial"/>
          <w:sz w:val="24"/>
          <w:szCs w:val="24"/>
          <w:lang w:val="fr-CA"/>
        </w:rPr>
        <w:t xml:space="preserve">APEX) est d'avis que, depuis 2015, ces connaissances, </w:t>
      </w:r>
      <w:r w:rsidR="00851F6C">
        <w:rPr>
          <w:rFonts w:ascii="Arial" w:hAnsi="Arial" w:cs="Arial"/>
          <w:sz w:val="24"/>
          <w:szCs w:val="24"/>
          <w:lang w:val="fr-CA"/>
        </w:rPr>
        <w:t xml:space="preserve">ces </w:t>
      </w:r>
      <w:r w:rsidRPr="00727A97">
        <w:rPr>
          <w:rFonts w:ascii="Arial" w:hAnsi="Arial" w:cs="Arial"/>
          <w:sz w:val="24"/>
          <w:szCs w:val="24"/>
          <w:lang w:val="fr-CA"/>
        </w:rPr>
        <w:t xml:space="preserve">stratégies et </w:t>
      </w:r>
      <w:r w:rsidR="00851F6C">
        <w:rPr>
          <w:rFonts w:ascii="Arial" w:hAnsi="Arial" w:cs="Arial"/>
          <w:sz w:val="24"/>
          <w:szCs w:val="24"/>
          <w:lang w:val="fr-CA"/>
        </w:rPr>
        <w:t>cette compréhension</w:t>
      </w:r>
      <w:r w:rsidRPr="00727A97">
        <w:rPr>
          <w:rFonts w:ascii="Arial" w:hAnsi="Arial" w:cs="Arial"/>
          <w:sz w:val="24"/>
          <w:szCs w:val="24"/>
          <w:lang w:val="fr-CA"/>
        </w:rPr>
        <w:t xml:space="preserve"> </w:t>
      </w:r>
      <w:r w:rsidR="00BB01CD">
        <w:rPr>
          <w:rFonts w:ascii="Arial" w:hAnsi="Arial" w:cs="Arial"/>
          <w:sz w:val="24"/>
          <w:szCs w:val="24"/>
          <w:lang w:val="fr-CA"/>
        </w:rPr>
        <w:t>particulières</w:t>
      </w:r>
      <w:r w:rsidRPr="00727A97">
        <w:rPr>
          <w:rFonts w:ascii="Arial" w:hAnsi="Arial" w:cs="Arial"/>
          <w:sz w:val="24"/>
          <w:szCs w:val="24"/>
          <w:lang w:val="fr-CA"/>
        </w:rPr>
        <w:t xml:space="preserve"> des conditions d'emploi des cadres </w:t>
      </w:r>
      <w:r w:rsidR="00BB01CD">
        <w:rPr>
          <w:rFonts w:ascii="Arial" w:hAnsi="Arial" w:cs="Arial"/>
          <w:sz w:val="24"/>
          <w:szCs w:val="24"/>
          <w:lang w:val="fr-CA"/>
        </w:rPr>
        <w:t xml:space="preserve">supérieurs </w:t>
      </w:r>
      <w:r w:rsidRPr="00727A97">
        <w:rPr>
          <w:rFonts w:ascii="Arial" w:hAnsi="Arial" w:cs="Arial"/>
          <w:sz w:val="24"/>
          <w:szCs w:val="24"/>
          <w:lang w:val="fr-CA"/>
        </w:rPr>
        <w:t>sont absent</w:t>
      </w:r>
      <w:r w:rsidR="00BB01CD">
        <w:rPr>
          <w:rFonts w:ascii="Arial" w:hAnsi="Arial" w:cs="Arial"/>
          <w:sz w:val="24"/>
          <w:szCs w:val="24"/>
          <w:lang w:val="fr-CA"/>
        </w:rPr>
        <w:t>e</w:t>
      </w:r>
      <w:r w:rsidRPr="00727A97">
        <w:rPr>
          <w:rFonts w:ascii="Arial" w:hAnsi="Arial" w:cs="Arial"/>
          <w:sz w:val="24"/>
          <w:szCs w:val="24"/>
          <w:lang w:val="fr-CA"/>
        </w:rPr>
        <w:t>s des décisions prises en matière de rémunération des cadres</w:t>
      </w:r>
      <w:r w:rsidR="00BB01CD">
        <w:rPr>
          <w:rFonts w:ascii="Arial" w:hAnsi="Arial" w:cs="Arial"/>
          <w:sz w:val="24"/>
          <w:szCs w:val="24"/>
          <w:lang w:val="fr-CA"/>
        </w:rPr>
        <w:t xml:space="preserve"> supérieurs</w:t>
      </w:r>
      <w:r w:rsidRPr="00727A97">
        <w:rPr>
          <w:rFonts w:ascii="Arial" w:hAnsi="Arial" w:cs="Arial"/>
          <w:sz w:val="24"/>
          <w:szCs w:val="24"/>
          <w:lang w:val="fr-CA"/>
        </w:rPr>
        <w:t xml:space="preserve">. Ce faisant, la valeur </w:t>
      </w:r>
      <w:r w:rsidR="00BB01CD">
        <w:rPr>
          <w:rFonts w:ascii="Arial" w:hAnsi="Arial" w:cs="Arial"/>
          <w:sz w:val="24"/>
          <w:szCs w:val="24"/>
          <w:lang w:val="fr-CA"/>
        </w:rPr>
        <w:t xml:space="preserve">réelle </w:t>
      </w:r>
      <w:r w:rsidRPr="00727A97">
        <w:rPr>
          <w:rFonts w:ascii="Arial" w:hAnsi="Arial" w:cs="Arial"/>
          <w:sz w:val="24"/>
          <w:szCs w:val="24"/>
          <w:lang w:val="fr-CA"/>
        </w:rPr>
        <w:t xml:space="preserve">des cadres supérieurs pour le Canada et les Canadiens n'a pas été reconnue. Il est essentiel qu'un Comité consultatif externe soit reconstitué au printemps 2023 en reconnaissance du rôle important du groupe </w:t>
      </w:r>
      <w:r w:rsidR="00BB01CD">
        <w:rPr>
          <w:rFonts w:ascii="Arial" w:hAnsi="Arial" w:cs="Arial"/>
          <w:sz w:val="24"/>
          <w:szCs w:val="24"/>
          <w:lang w:val="fr-CA"/>
        </w:rPr>
        <w:t>des cadres supérieurs</w:t>
      </w:r>
      <w:r w:rsidRPr="00727A97">
        <w:rPr>
          <w:rFonts w:ascii="Arial" w:hAnsi="Arial" w:cs="Arial"/>
          <w:sz w:val="24"/>
          <w:szCs w:val="24"/>
          <w:lang w:val="fr-CA"/>
        </w:rPr>
        <w:t xml:space="preserve"> dans le soutien et </w:t>
      </w:r>
      <w:r w:rsidR="00BB01CD">
        <w:rPr>
          <w:rFonts w:ascii="Arial" w:hAnsi="Arial" w:cs="Arial"/>
          <w:sz w:val="24"/>
          <w:szCs w:val="24"/>
          <w:lang w:val="fr-CA"/>
        </w:rPr>
        <w:t>la prestation de</w:t>
      </w:r>
      <w:r w:rsidRPr="00727A97">
        <w:rPr>
          <w:rFonts w:ascii="Arial" w:hAnsi="Arial" w:cs="Arial"/>
          <w:sz w:val="24"/>
          <w:szCs w:val="24"/>
          <w:lang w:val="fr-CA"/>
        </w:rPr>
        <w:t xml:space="preserve"> conseils au gouvernement et dans la prestation de services de grande valeur aux Canadiens.</w:t>
      </w:r>
    </w:p>
    <w:p w14:paraId="2CFCCE21" w14:textId="77777777" w:rsidR="00727A97" w:rsidRPr="00727A97" w:rsidRDefault="00727A97" w:rsidP="004B7969">
      <w:pPr>
        <w:pStyle w:val="NoSpacing"/>
        <w:rPr>
          <w:rFonts w:ascii="Arial" w:hAnsi="Arial" w:cs="Arial"/>
          <w:sz w:val="24"/>
          <w:szCs w:val="24"/>
          <w:lang w:val="fr-CA"/>
        </w:rPr>
      </w:pPr>
    </w:p>
    <w:p w14:paraId="042F347E" w14:textId="77777777" w:rsidR="004B7969" w:rsidRPr="001C7F0A" w:rsidRDefault="004B7969" w:rsidP="004B7969">
      <w:pPr>
        <w:pStyle w:val="NoSpacing"/>
        <w:rPr>
          <w:rFonts w:ascii="Arial" w:hAnsi="Arial" w:cs="Arial"/>
          <w:sz w:val="24"/>
          <w:szCs w:val="24"/>
          <w:lang w:val="fr-CA"/>
        </w:rPr>
      </w:pPr>
    </w:p>
    <w:p w14:paraId="3841FC2F" w14:textId="77777777" w:rsidR="000453B5" w:rsidRPr="001C7F0A" w:rsidRDefault="000453B5">
      <w:pPr>
        <w:rPr>
          <w:rFonts w:ascii="Arial" w:eastAsia="Calibri" w:hAnsi="Arial" w:cs="Arial"/>
          <w:b/>
          <w:bCs/>
          <w:sz w:val="28"/>
          <w:szCs w:val="28"/>
          <w:lang w:eastAsia="en-US"/>
        </w:rPr>
      </w:pPr>
      <w:bookmarkStart w:id="2" w:name="_Hlk126649249"/>
      <w:r w:rsidRPr="001C7F0A">
        <w:rPr>
          <w:rFonts w:ascii="Arial" w:hAnsi="Arial" w:cs="Arial"/>
          <w:b/>
          <w:bCs/>
          <w:sz w:val="28"/>
          <w:szCs w:val="28"/>
        </w:rPr>
        <w:br w:type="page"/>
      </w:r>
    </w:p>
    <w:p w14:paraId="3E1F9E06" w14:textId="07D8D0CB" w:rsidR="004B7969" w:rsidRPr="00B87C66" w:rsidRDefault="00B87C66" w:rsidP="00F41F01">
      <w:pPr>
        <w:pStyle w:val="Heading1"/>
      </w:pPr>
      <w:bookmarkStart w:id="3" w:name="_Toc127212919"/>
      <w:r w:rsidRPr="00B87C66">
        <w:lastRenderedPageBreak/>
        <w:t>Mandat</w:t>
      </w:r>
      <w:r w:rsidR="004B7969" w:rsidRPr="00B87C66">
        <w:t xml:space="preserve"> – </w:t>
      </w:r>
      <w:r w:rsidRPr="00B87C66">
        <w:t>Comité consultatif externe sur la rémuné</w:t>
      </w:r>
      <w:r>
        <w:t>ration des cadres supérieurs</w:t>
      </w:r>
      <w:bookmarkEnd w:id="3"/>
      <w:r>
        <w:t xml:space="preserve"> </w:t>
      </w:r>
    </w:p>
    <w:bookmarkEnd w:id="2"/>
    <w:p w14:paraId="5DFE184E" w14:textId="77777777" w:rsidR="004B7969" w:rsidRPr="00B87C66" w:rsidRDefault="004B7969" w:rsidP="004B7969">
      <w:pPr>
        <w:pStyle w:val="NoSpacing"/>
        <w:rPr>
          <w:rFonts w:ascii="Arial" w:hAnsi="Arial" w:cs="Arial"/>
          <w:sz w:val="24"/>
          <w:szCs w:val="24"/>
          <w:lang w:val="fr-CA"/>
        </w:rPr>
      </w:pPr>
    </w:p>
    <w:p w14:paraId="77F75727" w14:textId="770F2D4C" w:rsidR="004B7969" w:rsidRPr="00B87C66" w:rsidRDefault="00B87C66" w:rsidP="00F41F01">
      <w:pPr>
        <w:pStyle w:val="Heading2"/>
        <w:rPr>
          <w:b w:val="0"/>
        </w:rPr>
      </w:pPr>
      <w:bookmarkStart w:id="4" w:name="_Toc127212920"/>
      <w:r w:rsidRPr="00B87C66">
        <w:t>But</w:t>
      </w:r>
      <w:bookmarkEnd w:id="4"/>
    </w:p>
    <w:p w14:paraId="66D765CE" w14:textId="77777777" w:rsidR="004B7969" w:rsidRPr="00B87C66" w:rsidRDefault="004B7969" w:rsidP="004B7969">
      <w:pPr>
        <w:pStyle w:val="NoSpacing"/>
        <w:rPr>
          <w:rFonts w:ascii="Arial" w:hAnsi="Arial" w:cs="Arial"/>
          <w:sz w:val="24"/>
          <w:szCs w:val="24"/>
          <w:lang w:val="fr-CA"/>
        </w:rPr>
      </w:pPr>
    </w:p>
    <w:p w14:paraId="44717EE7" w14:textId="3C943C8D" w:rsidR="00B87C66" w:rsidRPr="00B87C66" w:rsidRDefault="00B87C66" w:rsidP="004B7969">
      <w:pPr>
        <w:pStyle w:val="NoSpacing"/>
        <w:rPr>
          <w:rFonts w:ascii="Arial" w:hAnsi="Arial" w:cs="Arial"/>
          <w:sz w:val="24"/>
          <w:szCs w:val="24"/>
          <w:lang w:val="fr-CA"/>
        </w:rPr>
      </w:pPr>
      <w:r>
        <w:rPr>
          <w:rFonts w:ascii="Arial" w:hAnsi="Arial" w:cs="Arial"/>
          <w:sz w:val="24"/>
          <w:szCs w:val="24"/>
          <w:lang w:val="fr-CA"/>
        </w:rPr>
        <w:t>L</w:t>
      </w:r>
      <w:r w:rsidRPr="00B87C66">
        <w:rPr>
          <w:rFonts w:ascii="Arial" w:hAnsi="Arial" w:cs="Arial"/>
          <w:sz w:val="24"/>
          <w:szCs w:val="24"/>
          <w:lang w:val="fr-CA"/>
        </w:rPr>
        <w:t xml:space="preserve">e Comité consultatif externe sur la rémunération globale des cadres supérieurs (le Comité) doit fournir des </w:t>
      </w:r>
      <w:r w:rsidR="00584E2A" w:rsidRPr="00B87C66">
        <w:rPr>
          <w:rFonts w:ascii="Arial" w:hAnsi="Arial" w:cs="Arial"/>
          <w:sz w:val="24"/>
          <w:szCs w:val="24"/>
          <w:lang w:val="fr-CA"/>
        </w:rPr>
        <w:t xml:space="preserve">recommandations </w:t>
      </w:r>
      <w:r w:rsidRPr="00B87C66">
        <w:rPr>
          <w:rFonts w:ascii="Arial" w:hAnsi="Arial" w:cs="Arial"/>
          <w:sz w:val="24"/>
          <w:szCs w:val="24"/>
          <w:lang w:val="fr-CA"/>
        </w:rPr>
        <w:t xml:space="preserve">et des </w:t>
      </w:r>
      <w:r w:rsidR="00584E2A" w:rsidRPr="00B87C66">
        <w:rPr>
          <w:rFonts w:ascii="Arial" w:hAnsi="Arial" w:cs="Arial"/>
          <w:sz w:val="24"/>
          <w:szCs w:val="24"/>
          <w:lang w:val="fr-CA"/>
        </w:rPr>
        <w:t xml:space="preserve">conseils </w:t>
      </w:r>
      <w:r w:rsidRPr="00B87C66">
        <w:rPr>
          <w:rFonts w:ascii="Arial" w:hAnsi="Arial" w:cs="Arial"/>
          <w:sz w:val="24"/>
          <w:szCs w:val="24"/>
          <w:lang w:val="fr-CA"/>
        </w:rPr>
        <w:t xml:space="preserve">indépendants </w:t>
      </w:r>
      <w:r w:rsidR="001A4D87">
        <w:rPr>
          <w:rFonts w:ascii="Arial" w:hAnsi="Arial" w:cs="Arial"/>
          <w:sz w:val="24"/>
          <w:szCs w:val="24"/>
          <w:lang w:val="fr-CA"/>
        </w:rPr>
        <w:t>à la</w:t>
      </w:r>
      <w:r w:rsidRPr="00B87C66">
        <w:rPr>
          <w:rFonts w:ascii="Arial" w:hAnsi="Arial" w:cs="Arial"/>
          <w:sz w:val="24"/>
          <w:szCs w:val="24"/>
          <w:lang w:val="fr-CA"/>
        </w:rPr>
        <w:t xml:space="preserve"> président</w:t>
      </w:r>
      <w:r w:rsidR="001A4D87">
        <w:rPr>
          <w:rFonts w:ascii="Arial" w:hAnsi="Arial" w:cs="Arial"/>
          <w:sz w:val="24"/>
          <w:szCs w:val="24"/>
          <w:lang w:val="fr-CA"/>
        </w:rPr>
        <w:t>e</w:t>
      </w:r>
      <w:r w:rsidRPr="00B87C66">
        <w:rPr>
          <w:rFonts w:ascii="Arial" w:hAnsi="Arial" w:cs="Arial"/>
          <w:sz w:val="24"/>
          <w:szCs w:val="24"/>
          <w:lang w:val="fr-CA"/>
        </w:rPr>
        <w:t xml:space="preserve"> du Conseil du Trésor</w:t>
      </w:r>
      <w:r w:rsidR="0030479B">
        <w:rPr>
          <w:rFonts w:ascii="Arial" w:hAnsi="Arial" w:cs="Arial"/>
          <w:sz w:val="24"/>
          <w:szCs w:val="24"/>
          <w:lang w:val="fr-CA"/>
        </w:rPr>
        <w:t>, e</w:t>
      </w:r>
      <w:r w:rsidRPr="00B87C66">
        <w:rPr>
          <w:rFonts w:ascii="Arial" w:hAnsi="Arial" w:cs="Arial"/>
          <w:sz w:val="24"/>
          <w:szCs w:val="24"/>
          <w:lang w:val="fr-CA"/>
        </w:rPr>
        <w:t xml:space="preserve">n tenant compte de la valeur du groupe </w:t>
      </w:r>
      <w:r>
        <w:rPr>
          <w:rFonts w:ascii="Arial" w:hAnsi="Arial" w:cs="Arial"/>
          <w:sz w:val="24"/>
          <w:szCs w:val="24"/>
          <w:lang w:val="fr-CA"/>
        </w:rPr>
        <w:t>des cadres supérieurs</w:t>
      </w:r>
      <w:r w:rsidRPr="00B87C66">
        <w:rPr>
          <w:rFonts w:ascii="Arial" w:hAnsi="Arial" w:cs="Arial"/>
          <w:sz w:val="24"/>
          <w:szCs w:val="24"/>
          <w:lang w:val="fr-CA"/>
        </w:rPr>
        <w:t xml:space="preserve"> pour le gouvernement du Canada et les Canadiens, du contexte et de la nature de leur travail, de la composition du groupe et d'autres aspects de la gestion des ressources humaines dans l'établissement des niveaux de rémunération globale</w:t>
      </w:r>
      <w:r w:rsidR="0030479B">
        <w:rPr>
          <w:rFonts w:ascii="Arial" w:hAnsi="Arial" w:cs="Arial"/>
          <w:sz w:val="24"/>
          <w:szCs w:val="24"/>
          <w:lang w:val="fr-CA"/>
        </w:rPr>
        <w:t>, a</w:t>
      </w:r>
      <w:r w:rsidR="0030479B" w:rsidRPr="00B87C66">
        <w:rPr>
          <w:rFonts w:ascii="Arial" w:hAnsi="Arial" w:cs="Arial"/>
          <w:sz w:val="24"/>
          <w:szCs w:val="24"/>
          <w:lang w:val="fr-CA"/>
        </w:rPr>
        <w:t xml:space="preserve">fin de renforcer le groupe </w:t>
      </w:r>
      <w:r w:rsidR="0030479B">
        <w:rPr>
          <w:rFonts w:ascii="Arial" w:hAnsi="Arial" w:cs="Arial"/>
          <w:sz w:val="24"/>
          <w:szCs w:val="24"/>
          <w:lang w:val="fr-CA"/>
        </w:rPr>
        <w:t>des cadres supérieurs</w:t>
      </w:r>
      <w:r w:rsidR="0030479B" w:rsidRPr="00B87C66">
        <w:rPr>
          <w:rFonts w:ascii="Arial" w:hAnsi="Arial" w:cs="Arial"/>
          <w:sz w:val="24"/>
          <w:szCs w:val="24"/>
          <w:lang w:val="fr-CA"/>
        </w:rPr>
        <w:t xml:space="preserve"> et d'assurer un leadership et une prestation de qualité des programmes et des services aux Canadiens.</w:t>
      </w:r>
    </w:p>
    <w:p w14:paraId="0F98D423" w14:textId="77777777" w:rsidR="00B87C66" w:rsidRPr="00B87C66" w:rsidRDefault="00B87C66" w:rsidP="004B7969">
      <w:pPr>
        <w:pStyle w:val="NoSpacing"/>
        <w:rPr>
          <w:rFonts w:ascii="Arial" w:hAnsi="Arial" w:cs="Arial"/>
          <w:sz w:val="24"/>
          <w:szCs w:val="24"/>
          <w:lang w:val="fr-CA"/>
        </w:rPr>
      </w:pPr>
    </w:p>
    <w:p w14:paraId="3D69D3B0" w14:textId="28251088" w:rsidR="004B7969" w:rsidRPr="009E03A1" w:rsidRDefault="004B7969" w:rsidP="00F41F01">
      <w:pPr>
        <w:pStyle w:val="Heading2"/>
      </w:pPr>
      <w:bookmarkStart w:id="5" w:name="_Toc127212921"/>
      <w:r w:rsidRPr="009E03A1">
        <w:t>Mandat</w:t>
      </w:r>
      <w:bookmarkEnd w:id="5"/>
    </w:p>
    <w:p w14:paraId="1FEAD29E" w14:textId="77777777" w:rsidR="004B7969" w:rsidRPr="001C7F0A" w:rsidRDefault="004B7969" w:rsidP="004B7969">
      <w:pPr>
        <w:pStyle w:val="NoSpacing"/>
        <w:rPr>
          <w:rFonts w:ascii="Arial" w:hAnsi="Arial" w:cs="Arial"/>
          <w:sz w:val="24"/>
          <w:szCs w:val="24"/>
          <w:lang w:val="fr-CA"/>
        </w:rPr>
      </w:pPr>
    </w:p>
    <w:p w14:paraId="4FC2395E" w14:textId="4E8D25D5" w:rsidR="001C7CA9" w:rsidRPr="001C7CA9" w:rsidRDefault="001C7CA9" w:rsidP="004B7969">
      <w:pPr>
        <w:pStyle w:val="NoSpacing"/>
        <w:rPr>
          <w:rFonts w:ascii="Arial" w:hAnsi="Arial" w:cs="Arial"/>
          <w:sz w:val="24"/>
          <w:szCs w:val="24"/>
          <w:lang w:val="fr-CA"/>
        </w:rPr>
      </w:pPr>
      <w:r w:rsidRPr="001C7CA9">
        <w:rPr>
          <w:rFonts w:ascii="Arial" w:hAnsi="Arial" w:cs="Arial"/>
          <w:sz w:val="24"/>
          <w:szCs w:val="24"/>
          <w:lang w:val="fr-CA"/>
        </w:rPr>
        <w:t xml:space="preserve">Le mandat </w:t>
      </w:r>
      <w:r>
        <w:rPr>
          <w:rFonts w:ascii="Arial" w:hAnsi="Arial" w:cs="Arial"/>
          <w:sz w:val="24"/>
          <w:szCs w:val="24"/>
          <w:lang w:val="fr-CA"/>
        </w:rPr>
        <w:t xml:space="preserve">du Comité est </w:t>
      </w:r>
      <w:r w:rsidRPr="001C7CA9">
        <w:rPr>
          <w:rFonts w:ascii="Arial" w:hAnsi="Arial" w:cs="Arial"/>
          <w:sz w:val="24"/>
          <w:szCs w:val="24"/>
          <w:lang w:val="fr-CA"/>
        </w:rPr>
        <w:t>de conseiller l</w:t>
      </w:r>
      <w:r w:rsidR="00802DEC">
        <w:rPr>
          <w:rFonts w:ascii="Arial" w:hAnsi="Arial" w:cs="Arial"/>
          <w:sz w:val="24"/>
          <w:szCs w:val="24"/>
          <w:lang w:val="fr-CA"/>
        </w:rPr>
        <w:t>a</w:t>
      </w:r>
      <w:r w:rsidRPr="001C7CA9">
        <w:rPr>
          <w:rFonts w:ascii="Arial" w:hAnsi="Arial" w:cs="Arial"/>
          <w:sz w:val="24"/>
          <w:szCs w:val="24"/>
          <w:lang w:val="fr-CA"/>
        </w:rPr>
        <w:t xml:space="preserve"> président</w:t>
      </w:r>
      <w:r w:rsidR="00802DEC">
        <w:rPr>
          <w:rFonts w:ascii="Arial" w:hAnsi="Arial" w:cs="Arial"/>
          <w:sz w:val="24"/>
          <w:szCs w:val="24"/>
          <w:lang w:val="fr-CA"/>
        </w:rPr>
        <w:t>e</w:t>
      </w:r>
      <w:r w:rsidRPr="001C7CA9">
        <w:rPr>
          <w:rFonts w:ascii="Arial" w:hAnsi="Arial" w:cs="Arial"/>
          <w:sz w:val="24"/>
          <w:szCs w:val="24"/>
          <w:lang w:val="fr-CA"/>
        </w:rPr>
        <w:t xml:space="preserve"> du Conseil du Trésor dans l'examen, la modification et la mise en œuvre du cadre et de la stratégie de rémunération du Secrétariat du Conseil du Trésor (SCT)</w:t>
      </w:r>
      <w:r>
        <w:rPr>
          <w:rFonts w:ascii="Arial" w:hAnsi="Arial" w:cs="Arial"/>
          <w:sz w:val="24"/>
          <w:szCs w:val="24"/>
          <w:lang w:val="fr-CA"/>
        </w:rPr>
        <w:t>,</w:t>
      </w:r>
      <w:r w:rsidRPr="001C7CA9">
        <w:rPr>
          <w:rFonts w:ascii="Arial" w:hAnsi="Arial" w:cs="Arial"/>
          <w:sz w:val="24"/>
          <w:szCs w:val="24"/>
          <w:lang w:val="fr-CA"/>
        </w:rPr>
        <w:t xml:space="preserve"> et de proposer des principes fondamentaux et des lignes directrices pour guider le gouvernement dans ses décisions concernant la rémunération, les politiques</w:t>
      </w:r>
      <w:r w:rsidR="00C9035E">
        <w:rPr>
          <w:rFonts w:ascii="Arial" w:hAnsi="Arial" w:cs="Arial"/>
          <w:sz w:val="24"/>
          <w:szCs w:val="24"/>
          <w:lang w:val="fr-CA"/>
        </w:rPr>
        <w:t xml:space="preserve">, </w:t>
      </w:r>
      <w:r w:rsidRPr="001C7CA9">
        <w:rPr>
          <w:rFonts w:ascii="Arial" w:hAnsi="Arial" w:cs="Arial"/>
          <w:sz w:val="24"/>
          <w:szCs w:val="24"/>
          <w:lang w:val="fr-CA"/>
        </w:rPr>
        <w:t xml:space="preserve">les avantages sociaux </w:t>
      </w:r>
      <w:r w:rsidR="00C9035E">
        <w:rPr>
          <w:rFonts w:ascii="Arial" w:hAnsi="Arial" w:cs="Arial"/>
          <w:sz w:val="24"/>
          <w:szCs w:val="24"/>
          <w:lang w:val="fr-CA"/>
        </w:rPr>
        <w:t xml:space="preserve">et les conditions d’emploi </w:t>
      </w:r>
      <w:r w:rsidRPr="001C7CA9">
        <w:rPr>
          <w:rFonts w:ascii="Arial" w:hAnsi="Arial" w:cs="Arial"/>
          <w:sz w:val="24"/>
          <w:szCs w:val="24"/>
          <w:lang w:val="fr-CA"/>
        </w:rPr>
        <w:t>des cadres supérieurs.</w:t>
      </w:r>
      <w:r w:rsidR="009C4806">
        <w:rPr>
          <w:rFonts w:ascii="Arial" w:hAnsi="Arial" w:cs="Arial"/>
          <w:sz w:val="24"/>
          <w:szCs w:val="24"/>
          <w:lang w:val="fr-CA"/>
        </w:rPr>
        <w:t xml:space="preserve"> </w:t>
      </w:r>
      <w:r w:rsidRPr="001C7CA9">
        <w:rPr>
          <w:rFonts w:ascii="Arial" w:hAnsi="Arial" w:cs="Arial"/>
          <w:sz w:val="24"/>
          <w:szCs w:val="24"/>
          <w:lang w:val="fr-CA"/>
        </w:rPr>
        <w:t xml:space="preserve">Le Comité doit fournir </w:t>
      </w:r>
      <w:r w:rsidR="00F517EA">
        <w:rPr>
          <w:rFonts w:ascii="Arial" w:hAnsi="Arial" w:cs="Arial"/>
          <w:sz w:val="24"/>
          <w:szCs w:val="24"/>
          <w:lang w:val="fr-CA"/>
        </w:rPr>
        <w:t>à la</w:t>
      </w:r>
      <w:r w:rsidRPr="001C7CA9">
        <w:rPr>
          <w:rFonts w:ascii="Arial" w:hAnsi="Arial" w:cs="Arial"/>
          <w:sz w:val="24"/>
          <w:szCs w:val="24"/>
          <w:lang w:val="fr-CA"/>
        </w:rPr>
        <w:t xml:space="preserve"> président</w:t>
      </w:r>
      <w:r w:rsidR="00F517EA">
        <w:rPr>
          <w:rFonts w:ascii="Arial" w:hAnsi="Arial" w:cs="Arial"/>
          <w:sz w:val="24"/>
          <w:szCs w:val="24"/>
          <w:lang w:val="fr-CA"/>
        </w:rPr>
        <w:t>e</w:t>
      </w:r>
      <w:r w:rsidRPr="001C7CA9">
        <w:rPr>
          <w:rFonts w:ascii="Arial" w:hAnsi="Arial" w:cs="Arial"/>
          <w:sz w:val="24"/>
          <w:szCs w:val="24"/>
          <w:lang w:val="fr-CA"/>
        </w:rPr>
        <w:t xml:space="preserve"> du Conseil du Trésor des recommandations annuelles sur la rémunération </w:t>
      </w:r>
      <w:r w:rsidR="009C4806">
        <w:rPr>
          <w:rFonts w:ascii="Arial" w:hAnsi="Arial" w:cs="Arial"/>
          <w:sz w:val="24"/>
          <w:szCs w:val="24"/>
          <w:lang w:val="fr-CA"/>
        </w:rPr>
        <w:t xml:space="preserve">globale des cadres supérieurs, </w:t>
      </w:r>
      <w:r w:rsidRPr="001C7CA9">
        <w:rPr>
          <w:rFonts w:ascii="Arial" w:hAnsi="Arial" w:cs="Arial"/>
          <w:sz w:val="24"/>
          <w:szCs w:val="24"/>
          <w:lang w:val="fr-CA"/>
        </w:rPr>
        <w:t>qui sont fondées sur ces principes et ces lignes directrices</w:t>
      </w:r>
      <w:r w:rsidR="00FF125E">
        <w:rPr>
          <w:rFonts w:ascii="Arial" w:hAnsi="Arial" w:cs="Arial"/>
          <w:sz w:val="24"/>
          <w:szCs w:val="24"/>
          <w:lang w:val="fr-CA"/>
        </w:rPr>
        <w:t>,</w:t>
      </w:r>
      <w:r w:rsidRPr="001C7CA9">
        <w:rPr>
          <w:rFonts w:ascii="Arial" w:hAnsi="Arial" w:cs="Arial"/>
          <w:sz w:val="24"/>
          <w:szCs w:val="24"/>
          <w:lang w:val="fr-CA"/>
        </w:rPr>
        <w:t xml:space="preserve"> afin de renforcer </w:t>
      </w:r>
      <w:r w:rsidR="009C4806">
        <w:rPr>
          <w:rFonts w:ascii="Arial" w:hAnsi="Arial" w:cs="Arial"/>
          <w:sz w:val="24"/>
          <w:szCs w:val="24"/>
          <w:lang w:val="fr-CA"/>
        </w:rPr>
        <w:t>le groupe des cadres supérieurs</w:t>
      </w:r>
      <w:r w:rsidRPr="001C7CA9">
        <w:rPr>
          <w:rFonts w:ascii="Arial" w:hAnsi="Arial" w:cs="Arial"/>
          <w:sz w:val="24"/>
          <w:szCs w:val="24"/>
          <w:lang w:val="fr-CA"/>
        </w:rPr>
        <w:t xml:space="preserve">, </w:t>
      </w:r>
      <w:r w:rsidR="009C4806">
        <w:rPr>
          <w:rFonts w:ascii="Arial" w:hAnsi="Arial" w:cs="Arial"/>
          <w:sz w:val="24"/>
          <w:szCs w:val="24"/>
          <w:lang w:val="fr-CA"/>
        </w:rPr>
        <w:t xml:space="preserve">d’assurer l’intérêt soutenu des employés à potentiel élevé pour les postes de cadres supérieurs, </w:t>
      </w:r>
      <w:r w:rsidRPr="001C7CA9">
        <w:rPr>
          <w:rFonts w:ascii="Arial" w:hAnsi="Arial" w:cs="Arial"/>
          <w:sz w:val="24"/>
          <w:szCs w:val="24"/>
          <w:lang w:val="fr-CA"/>
        </w:rPr>
        <w:t>et de fournir des services et des programmes de haute qualité aux Canadiens.</w:t>
      </w:r>
    </w:p>
    <w:p w14:paraId="7C31E4CA" w14:textId="77777777" w:rsidR="001C7CA9" w:rsidRPr="001C7CA9" w:rsidRDefault="001C7CA9" w:rsidP="004B7969">
      <w:pPr>
        <w:pStyle w:val="NoSpacing"/>
        <w:rPr>
          <w:rFonts w:ascii="Arial" w:hAnsi="Arial" w:cs="Arial"/>
          <w:sz w:val="24"/>
          <w:szCs w:val="24"/>
          <w:lang w:val="fr-CA"/>
        </w:rPr>
      </w:pPr>
    </w:p>
    <w:p w14:paraId="5854BB5D" w14:textId="77777777" w:rsidR="001C7CA9" w:rsidRPr="001C7CA9" w:rsidRDefault="001C7CA9" w:rsidP="004B7969">
      <w:pPr>
        <w:pStyle w:val="NoSpacing"/>
        <w:rPr>
          <w:rFonts w:ascii="Arial" w:hAnsi="Arial" w:cs="Arial"/>
          <w:sz w:val="24"/>
          <w:szCs w:val="24"/>
          <w:lang w:val="fr-CA"/>
        </w:rPr>
      </w:pPr>
    </w:p>
    <w:p w14:paraId="41A5ABCA" w14:textId="15C752E5" w:rsidR="004B7969" w:rsidRPr="00CD076F" w:rsidRDefault="00CD076F" w:rsidP="00FE7584">
      <w:pPr>
        <w:pStyle w:val="Heading2"/>
      </w:pPr>
      <w:bookmarkStart w:id="6" w:name="_Toc127212922"/>
      <w:r w:rsidRPr="00CD076F">
        <w:lastRenderedPageBreak/>
        <w:t>Fonctions</w:t>
      </w:r>
      <w:bookmarkEnd w:id="6"/>
    </w:p>
    <w:p w14:paraId="0BBC3888" w14:textId="77777777" w:rsidR="004B7969" w:rsidRPr="00CD076F" w:rsidRDefault="004B7969" w:rsidP="00FE7584">
      <w:pPr>
        <w:pStyle w:val="NoSpacing"/>
        <w:keepNext/>
        <w:keepLines/>
        <w:rPr>
          <w:rFonts w:ascii="Arial" w:hAnsi="Arial" w:cs="Arial"/>
          <w:b/>
          <w:bCs/>
          <w:sz w:val="26"/>
          <w:szCs w:val="26"/>
          <w:lang w:val="fr-CA"/>
        </w:rPr>
      </w:pPr>
    </w:p>
    <w:p w14:paraId="53310CF0" w14:textId="03C9F836" w:rsidR="004B7969" w:rsidRPr="00CD076F" w:rsidRDefault="00CD076F" w:rsidP="00FE7584">
      <w:pPr>
        <w:pStyle w:val="NoSpacing"/>
        <w:keepNext/>
        <w:keepLines/>
        <w:rPr>
          <w:rFonts w:ascii="Arial" w:hAnsi="Arial" w:cs="Arial"/>
          <w:b/>
          <w:bCs/>
          <w:sz w:val="26"/>
          <w:szCs w:val="26"/>
          <w:lang w:val="fr-CA"/>
        </w:rPr>
      </w:pPr>
      <w:r w:rsidRPr="00CD076F">
        <w:rPr>
          <w:rFonts w:ascii="Arial" w:hAnsi="Arial" w:cs="Arial"/>
          <w:sz w:val="24"/>
          <w:szCs w:val="24"/>
          <w:lang w:val="fr-CA"/>
        </w:rPr>
        <w:t xml:space="preserve">Le Comité est chargé d'exécuter les tâches suivantes :  </w:t>
      </w:r>
    </w:p>
    <w:p w14:paraId="202230E6" w14:textId="77777777" w:rsidR="00CD076F" w:rsidRPr="001C7F0A" w:rsidRDefault="00CD076F" w:rsidP="00FE7584">
      <w:pPr>
        <w:pStyle w:val="NoSpacing"/>
        <w:keepNext/>
        <w:keepLines/>
        <w:numPr>
          <w:ilvl w:val="0"/>
          <w:numId w:val="24"/>
        </w:numPr>
        <w:rPr>
          <w:rFonts w:ascii="Arial" w:hAnsi="Arial" w:cs="Arial"/>
          <w:sz w:val="24"/>
          <w:szCs w:val="24"/>
          <w:lang w:val="fr-CA"/>
        </w:rPr>
      </w:pPr>
      <w:r w:rsidRPr="00CD076F">
        <w:rPr>
          <w:rFonts w:ascii="Arial" w:hAnsi="Arial" w:cs="Arial"/>
          <w:sz w:val="24"/>
          <w:szCs w:val="24"/>
          <w:lang w:val="fr-CA"/>
        </w:rPr>
        <w:t xml:space="preserve">Examiner le cadre actuel de rémunération globale du SCT applicable aux cadres supérieurs et recommander des modifications propres à ce groupe.  </w:t>
      </w:r>
    </w:p>
    <w:p w14:paraId="46E270A9" w14:textId="6042BE10" w:rsidR="00CD076F" w:rsidRDefault="00FE7584" w:rsidP="00FE7584">
      <w:pPr>
        <w:pStyle w:val="NoSpacing"/>
        <w:keepNext/>
        <w:keepLines/>
        <w:numPr>
          <w:ilvl w:val="0"/>
          <w:numId w:val="24"/>
        </w:numPr>
        <w:rPr>
          <w:rFonts w:ascii="Arial" w:hAnsi="Arial" w:cs="Arial"/>
          <w:sz w:val="24"/>
          <w:szCs w:val="24"/>
          <w:lang w:val="fr-CA"/>
        </w:rPr>
      </w:pPr>
      <w:r w:rsidRPr="00FE7584">
        <w:rPr>
          <w:rFonts w:ascii="Arial" w:hAnsi="Arial" w:cs="Arial"/>
          <w:sz w:val="24"/>
          <w:szCs w:val="24"/>
          <w:lang w:val="fr-CA"/>
        </w:rPr>
        <w:t>Déterminer les groupes de relève internes et des comparateurs externes justes et appropriés à utiliser pour assurer un régime de rémunération globale concurrentiel pour les cadres supérieurs.</w:t>
      </w:r>
    </w:p>
    <w:p w14:paraId="7B826711" w14:textId="7A5C175A" w:rsidR="00FE7584" w:rsidRDefault="00FE7584" w:rsidP="00FE7584">
      <w:pPr>
        <w:pStyle w:val="NoSpacing"/>
        <w:keepNext/>
        <w:keepLines/>
        <w:numPr>
          <w:ilvl w:val="0"/>
          <w:numId w:val="24"/>
        </w:numPr>
        <w:rPr>
          <w:rFonts w:ascii="Arial" w:hAnsi="Arial" w:cs="Arial"/>
          <w:sz w:val="24"/>
          <w:szCs w:val="24"/>
          <w:lang w:val="fr-CA"/>
        </w:rPr>
      </w:pPr>
      <w:r w:rsidRPr="00FE7584">
        <w:rPr>
          <w:rFonts w:ascii="Arial" w:hAnsi="Arial" w:cs="Arial"/>
          <w:sz w:val="24"/>
          <w:szCs w:val="24"/>
          <w:lang w:val="fr-CA"/>
        </w:rPr>
        <w:t xml:space="preserve">Établir </w:t>
      </w:r>
      <w:r>
        <w:rPr>
          <w:rFonts w:ascii="Arial" w:hAnsi="Arial" w:cs="Arial"/>
          <w:sz w:val="24"/>
          <w:szCs w:val="24"/>
          <w:lang w:val="fr-CA"/>
        </w:rPr>
        <w:t>comment</w:t>
      </w:r>
      <w:r w:rsidRPr="00FE7584">
        <w:rPr>
          <w:rFonts w:ascii="Arial" w:hAnsi="Arial" w:cs="Arial"/>
          <w:sz w:val="24"/>
          <w:szCs w:val="24"/>
          <w:lang w:val="fr-CA"/>
        </w:rPr>
        <w:t xml:space="preserve"> différencier la rémunération globale et les avantages sociaux des cadres supérieurs et ceux des groupes</w:t>
      </w:r>
      <w:r w:rsidR="00F54276">
        <w:rPr>
          <w:rFonts w:ascii="Arial" w:hAnsi="Arial" w:cs="Arial"/>
          <w:sz w:val="24"/>
          <w:szCs w:val="24"/>
          <w:lang w:val="fr-CA"/>
        </w:rPr>
        <w:t xml:space="preserve"> syndiqués</w:t>
      </w:r>
      <w:r w:rsidRPr="00FE7584">
        <w:rPr>
          <w:rFonts w:ascii="Arial" w:hAnsi="Arial" w:cs="Arial"/>
          <w:sz w:val="24"/>
          <w:szCs w:val="24"/>
          <w:lang w:val="fr-CA"/>
        </w:rPr>
        <w:t>.</w:t>
      </w:r>
    </w:p>
    <w:p w14:paraId="5AC6097D" w14:textId="12BDAFC1" w:rsidR="00FE7584" w:rsidRDefault="00FE7584" w:rsidP="00FE7584">
      <w:pPr>
        <w:pStyle w:val="NoSpacing"/>
        <w:keepNext/>
        <w:keepLines/>
        <w:numPr>
          <w:ilvl w:val="0"/>
          <w:numId w:val="24"/>
        </w:numPr>
        <w:rPr>
          <w:rFonts w:ascii="Arial" w:hAnsi="Arial" w:cs="Arial"/>
          <w:sz w:val="24"/>
          <w:szCs w:val="24"/>
          <w:lang w:val="fr-CA"/>
        </w:rPr>
      </w:pPr>
      <w:r w:rsidRPr="00FE7584">
        <w:rPr>
          <w:rFonts w:ascii="Arial" w:hAnsi="Arial" w:cs="Arial"/>
          <w:sz w:val="24"/>
          <w:szCs w:val="24"/>
          <w:lang w:val="fr-CA"/>
        </w:rPr>
        <w:t>Examiner annuellement la rémunération et les conditions d'emploi des cadres supérieurs et faire des recommandations au gouvernement à ce sujet.</w:t>
      </w:r>
    </w:p>
    <w:p w14:paraId="37BCE36F" w14:textId="687CEBE8" w:rsidR="0061287E" w:rsidRDefault="0061287E" w:rsidP="00FE7584">
      <w:pPr>
        <w:pStyle w:val="NoSpacing"/>
        <w:keepNext/>
        <w:keepLines/>
        <w:numPr>
          <w:ilvl w:val="0"/>
          <w:numId w:val="24"/>
        </w:numPr>
        <w:rPr>
          <w:rFonts w:ascii="Arial" w:hAnsi="Arial" w:cs="Arial"/>
          <w:sz w:val="24"/>
          <w:szCs w:val="24"/>
          <w:lang w:val="fr-CA"/>
        </w:rPr>
      </w:pPr>
      <w:r w:rsidRPr="0061287E">
        <w:rPr>
          <w:rFonts w:ascii="Arial" w:hAnsi="Arial" w:cs="Arial"/>
          <w:sz w:val="24"/>
          <w:szCs w:val="24"/>
          <w:lang w:val="fr-CA"/>
        </w:rPr>
        <w:t>Examiner périodiquement les politiques</w:t>
      </w:r>
      <w:r>
        <w:rPr>
          <w:rFonts w:ascii="Arial" w:hAnsi="Arial" w:cs="Arial"/>
          <w:sz w:val="24"/>
          <w:szCs w:val="24"/>
          <w:lang w:val="fr-CA"/>
        </w:rPr>
        <w:t xml:space="preserve"> ainsi que</w:t>
      </w:r>
      <w:r w:rsidRPr="0061287E">
        <w:rPr>
          <w:rFonts w:ascii="Arial" w:hAnsi="Arial" w:cs="Arial"/>
          <w:sz w:val="24"/>
          <w:szCs w:val="24"/>
          <w:lang w:val="fr-CA"/>
        </w:rPr>
        <w:t xml:space="preserve"> le type et les niveaux d'avantages sociaux </w:t>
      </w:r>
      <w:r>
        <w:rPr>
          <w:rFonts w:ascii="Arial" w:hAnsi="Arial" w:cs="Arial"/>
          <w:sz w:val="24"/>
          <w:szCs w:val="24"/>
          <w:lang w:val="fr-CA"/>
        </w:rPr>
        <w:t xml:space="preserve">et autres droits </w:t>
      </w:r>
      <w:r w:rsidR="00DB6353">
        <w:rPr>
          <w:rFonts w:ascii="Arial" w:hAnsi="Arial" w:cs="Arial"/>
          <w:sz w:val="24"/>
          <w:szCs w:val="24"/>
          <w:lang w:val="fr-CA"/>
        </w:rPr>
        <w:t>offerts aux</w:t>
      </w:r>
      <w:r w:rsidRPr="0061287E">
        <w:rPr>
          <w:rFonts w:ascii="Arial" w:hAnsi="Arial" w:cs="Arial"/>
          <w:sz w:val="24"/>
          <w:szCs w:val="24"/>
          <w:lang w:val="fr-CA"/>
        </w:rPr>
        <w:t xml:space="preserve"> cadres supérieurs, </w:t>
      </w:r>
      <w:r w:rsidR="00DB6353">
        <w:rPr>
          <w:rFonts w:ascii="Arial" w:hAnsi="Arial" w:cs="Arial"/>
          <w:sz w:val="24"/>
          <w:szCs w:val="24"/>
          <w:lang w:val="fr-CA"/>
        </w:rPr>
        <w:t xml:space="preserve">pour déterminer ce qui pourrait être ajouté ou modifié.  </w:t>
      </w:r>
    </w:p>
    <w:p w14:paraId="455341F4" w14:textId="095D1358" w:rsidR="00DB6353" w:rsidRDefault="0058103C" w:rsidP="00FE7584">
      <w:pPr>
        <w:pStyle w:val="NoSpacing"/>
        <w:keepNext/>
        <w:keepLines/>
        <w:numPr>
          <w:ilvl w:val="0"/>
          <w:numId w:val="24"/>
        </w:numPr>
        <w:rPr>
          <w:rFonts w:ascii="Arial" w:hAnsi="Arial" w:cs="Arial"/>
          <w:sz w:val="24"/>
          <w:szCs w:val="24"/>
          <w:lang w:val="fr-CA"/>
        </w:rPr>
      </w:pPr>
      <w:r w:rsidRPr="0058103C">
        <w:rPr>
          <w:rFonts w:ascii="Arial" w:hAnsi="Arial" w:cs="Arial"/>
          <w:sz w:val="24"/>
          <w:szCs w:val="24"/>
          <w:lang w:val="fr-CA"/>
        </w:rPr>
        <w:t xml:space="preserve">Mesurer et examiner annuellement l'efficacité de la rémunération globale des cadres supérieurs comme moyen d'assurer </w:t>
      </w:r>
      <w:r w:rsidR="00923225">
        <w:rPr>
          <w:rFonts w:ascii="Arial" w:hAnsi="Arial" w:cs="Arial"/>
          <w:sz w:val="24"/>
          <w:szCs w:val="24"/>
          <w:lang w:val="fr-CA"/>
        </w:rPr>
        <w:t>l’intérêt</w:t>
      </w:r>
      <w:r w:rsidRPr="0058103C">
        <w:rPr>
          <w:rFonts w:ascii="Arial" w:hAnsi="Arial" w:cs="Arial"/>
          <w:sz w:val="24"/>
          <w:szCs w:val="24"/>
          <w:lang w:val="fr-CA"/>
        </w:rPr>
        <w:t xml:space="preserve"> </w:t>
      </w:r>
      <w:r w:rsidR="00F27A0F" w:rsidRPr="0058103C">
        <w:rPr>
          <w:rFonts w:ascii="Arial" w:hAnsi="Arial" w:cs="Arial"/>
          <w:sz w:val="24"/>
          <w:szCs w:val="24"/>
          <w:lang w:val="fr-CA"/>
        </w:rPr>
        <w:t xml:space="preserve">des employés à potentiel élevé </w:t>
      </w:r>
      <w:r w:rsidRPr="0058103C">
        <w:rPr>
          <w:rFonts w:ascii="Arial" w:hAnsi="Arial" w:cs="Arial"/>
          <w:sz w:val="24"/>
          <w:szCs w:val="24"/>
          <w:lang w:val="fr-CA"/>
        </w:rPr>
        <w:t xml:space="preserve">et la rétention </w:t>
      </w:r>
      <w:r w:rsidR="00F27A0F">
        <w:rPr>
          <w:rFonts w:ascii="Arial" w:hAnsi="Arial" w:cs="Arial"/>
          <w:sz w:val="24"/>
          <w:szCs w:val="24"/>
          <w:lang w:val="fr-CA"/>
        </w:rPr>
        <w:t xml:space="preserve">au sein du </w:t>
      </w:r>
      <w:r w:rsidRPr="0058103C">
        <w:rPr>
          <w:rFonts w:ascii="Arial" w:hAnsi="Arial" w:cs="Arial"/>
          <w:sz w:val="24"/>
          <w:szCs w:val="24"/>
          <w:lang w:val="fr-CA"/>
        </w:rPr>
        <w:t xml:space="preserve">groupe des cadres supérieurs.  </w:t>
      </w:r>
    </w:p>
    <w:p w14:paraId="52BBC247" w14:textId="78B129EB" w:rsidR="00F54276" w:rsidRPr="00F54276" w:rsidRDefault="00F54276" w:rsidP="00F54276">
      <w:pPr>
        <w:pStyle w:val="NoSpacing"/>
        <w:keepNext/>
        <w:keepLines/>
        <w:numPr>
          <w:ilvl w:val="0"/>
          <w:numId w:val="24"/>
        </w:numPr>
        <w:rPr>
          <w:rFonts w:ascii="Arial" w:hAnsi="Arial" w:cs="Arial"/>
          <w:sz w:val="24"/>
          <w:szCs w:val="24"/>
          <w:lang w:val="fr-CA"/>
        </w:rPr>
      </w:pPr>
      <w:r w:rsidRPr="0061287E">
        <w:rPr>
          <w:rFonts w:ascii="Arial" w:hAnsi="Arial" w:cs="Arial"/>
          <w:sz w:val="24"/>
          <w:szCs w:val="24"/>
          <w:lang w:val="fr-CA"/>
        </w:rPr>
        <w:t xml:space="preserve">Publier annuellement sur le site </w:t>
      </w:r>
      <w:r>
        <w:rPr>
          <w:rFonts w:ascii="Arial" w:hAnsi="Arial" w:cs="Arial"/>
          <w:sz w:val="24"/>
          <w:szCs w:val="24"/>
          <w:lang w:val="fr-CA"/>
        </w:rPr>
        <w:t>w</w:t>
      </w:r>
      <w:r w:rsidRPr="0061287E">
        <w:rPr>
          <w:rFonts w:ascii="Arial" w:hAnsi="Arial" w:cs="Arial"/>
          <w:sz w:val="24"/>
          <w:szCs w:val="24"/>
          <w:lang w:val="fr-CA"/>
        </w:rPr>
        <w:t>eb du SCT les recommandations faites au président du Conseil du Trésor, ainsi que les justifications.</w:t>
      </w:r>
    </w:p>
    <w:p w14:paraId="74D5D4FC" w14:textId="5D6779FF" w:rsidR="00F27A0F" w:rsidRDefault="00B6489B" w:rsidP="00FE7584">
      <w:pPr>
        <w:pStyle w:val="NoSpacing"/>
        <w:keepNext/>
        <w:keepLines/>
        <w:numPr>
          <w:ilvl w:val="0"/>
          <w:numId w:val="24"/>
        </w:numPr>
        <w:rPr>
          <w:rFonts w:ascii="Arial" w:hAnsi="Arial" w:cs="Arial"/>
          <w:sz w:val="24"/>
          <w:szCs w:val="24"/>
          <w:lang w:val="fr-CA"/>
        </w:rPr>
      </w:pPr>
      <w:r w:rsidRPr="00B6489B">
        <w:rPr>
          <w:rFonts w:ascii="Arial" w:hAnsi="Arial" w:cs="Arial"/>
          <w:sz w:val="24"/>
          <w:szCs w:val="24"/>
          <w:lang w:val="fr-CA"/>
        </w:rPr>
        <w:t xml:space="preserve">Examiner périodiquement la méthodologie utilisée par le Comité et par le SCT pour guider et informer les recommandations </w:t>
      </w:r>
      <w:r w:rsidR="00593FE8">
        <w:rPr>
          <w:rFonts w:ascii="Arial" w:hAnsi="Arial" w:cs="Arial"/>
          <w:sz w:val="24"/>
          <w:szCs w:val="24"/>
          <w:lang w:val="fr-CA"/>
        </w:rPr>
        <w:t>à la présidente</w:t>
      </w:r>
      <w:r w:rsidRPr="00B6489B">
        <w:rPr>
          <w:rFonts w:ascii="Arial" w:hAnsi="Arial" w:cs="Arial"/>
          <w:sz w:val="24"/>
          <w:szCs w:val="24"/>
          <w:lang w:val="fr-CA"/>
        </w:rPr>
        <w:t xml:space="preserve"> du Conseil du Trésor </w:t>
      </w:r>
      <w:r>
        <w:rPr>
          <w:rFonts w:ascii="Arial" w:hAnsi="Arial" w:cs="Arial"/>
          <w:sz w:val="24"/>
          <w:szCs w:val="24"/>
          <w:lang w:val="fr-CA"/>
        </w:rPr>
        <w:t>relativement à</w:t>
      </w:r>
      <w:r w:rsidRPr="00B6489B">
        <w:rPr>
          <w:rFonts w:ascii="Arial" w:hAnsi="Arial" w:cs="Arial"/>
          <w:sz w:val="24"/>
          <w:szCs w:val="24"/>
          <w:lang w:val="fr-CA"/>
        </w:rPr>
        <w:t xml:space="preserve"> la rémunération globale des cadres supérieurs</w:t>
      </w:r>
      <w:r>
        <w:rPr>
          <w:rFonts w:ascii="Arial" w:hAnsi="Arial" w:cs="Arial"/>
          <w:sz w:val="24"/>
          <w:szCs w:val="24"/>
          <w:lang w:val="fr-CA"/>
        </w:rPr>
        <w:t>.</w:t>
      </w:r>
    </w:p>
    <w:p w14:paraId="33FFB464" w14:textId="59771B95" w:rsidR="00B6489B" w:rsidRDefault="00B6489B" w:rsidP="00FE7584">
      <w:pPr>
        <w:pStyle w:val="NoSpacing"/>
        <w:keepNext/>
        <w:keepLines/>
        <w:numPr>
          <w:ilvl w:val="0"/>
          <w:numId w:val="24"/>
        </w:numPr>
        <w:rPr>
          <w:rFonts w:ascii="Arial" w:hAnsi="Arial" w:cs="Arial"/>
          <w:sz w:val="24"/>
          <w:szCs w:val="24"/>
          <w:lang w:val="fr-CA"/>
        </w:rPr>
      </w:pPr>
      <w:r w:rsidRPr="00B6489B">
        <w:rPr>
          <w:rFonts w:ascii="Arial" w:hAnsi="Arial" w:cs="Arial"/>
          <w:sz w:val="24"/>
          <w:szCs w:val="24"/>
          <w:lang w:val="fr-CA"/>
        </w:rPr>
        <w:t>Examiner et surveiller l'exposition aux risques associés au régime et aux politiques de rémunération et identifier des mesures d'atténuation.</w:t>
      </w:r>
    </w:p>
    <w:p w14:paraId="496A10D3" w14:textId="1F1867DE" w:rsidR="001937B5" w:rsidRDefault="003963B8" w:rsidP="00FE7584">
      <w:pPr>
        <w:pStyle w:val="NoSpacing"/>
        <w:keepNext/>
        <w:keepLines/>
        <w:numPr>
          <w:ilvl w:val="0"/>
          <w:numId w:val="24"/>
        </w:numPr>
        <w:rPr>
          <w:rFonts w:ascii="Arial" w:hAnsi="Arial" w:cs="Arial"/>
          <w:sz w:val="24"/>
          <w:szCs w:val="24"/>
          <w:lang w:val="fr-CA"/>
        </w:rPr>
      </w:pPr>
      <w:r>
        <w:rPr>
          <w:rFonts w:ascii="Arial" w:hAnsi="Arial" w:cs="Arial"/>
          <w:sz w:val="24"/>
          <w:szCs w:val="24"/>
          <w:lang w:val="fr-CA"/>
        </w:rPr>
        <w:t xml:space="preserve">Le Comité doit offrir annuellement </w:t>
      </w:r>
      <w:r w:rsidR="00D608DD">
        <w:rPr>
          <w:rFonts w:ascii="Arial" w:hAnsi="Arial" w:cs="Arial"/>
          <w:sz w:val="24"/>
          <w:szCs w:val="24"/>
          <w:lang w:val="fr-CA"/>
        </w:rPr>
        <w:t>à l</w:t>
      </w:r>
      <w:r w:rsidR="001937B5" w:rsidRPr="001937B5">
        <w:rPr>
          <w:rFonts w:ascii="Arial" w:hAnsi="Arial" w:cs="Arial"/>
          <w:sz w:val="24"/>
          <w:szCs w:val="24"/>
          <w:lang w:val="fr-CA"/>
        </w:rPr>
        <w:t xml:space="preserve">'APEX </w:t>
      </w:r>
      <w:r w:rsidR="00D608DD">
        <w:rPr>
          <w:rFonts w:ascii="Arial" w:hAnsi="Arial" w:cs="Arial"/>
          <w:sz w:val="24"/>
          <w:szCs w:val="24"/>
          <w:lang w:val="fr-CA"/>
        </w:rPr>
        <w:t xml:space="preserve">l’occasion de </w:t>
      </w:r>
      <w:r>
        <w:rPr>
          <w:rFonts w:ascii="Arial" w:hAnsi="Arial" w:cs="Arial"/>
          <w:sz w:val="24"/>
          <w:szCs w:val="24"/>
          <w:lang w:val="fr-CA"/>
        </w:rPr>
        <w:t>lui fournir</w:t>
      </w:r>
      <w:r w:rsidR="00D608DD">
        <w:rPr>
          <w:rFonts w:ascii="Arial" w:hAnsi="Arial" w:cs="Arial"/>
          <w:sz w:val="24"/>
          <w:szCs w:val="24"/>
          <w:lang w:val="fr-CA"/>
        </w:rPr>
        <w:t xml:space="preserve"> avis, conseils et informations pertinentes</w:t>
      </w:r>
      <w:r>
        <w:rPr>
          <w:rFonts w:ascii="Arial" w:hAnsi="Arial" w:cs="Arial"/>
          <w:sz w:val="24"/>
          <w:szCs w:val="24"/>
          <w:lang w:val="fr-CA"/>
        </w:rPr>
        <w:t>,</w:t>
      </w:r>
      <w:r w:rsidR="00D608DD">
        <w:rPr>
          <w:rFonts w:ascii="Arial" w:hAnsi="Arial" w:cs="Arial"/>
          <w:sz w:val="24"/>
          <w:szCs w:val="24"/>
          <w:lang w:val="fr-CA"/>
        </w:rPr>
        <w:t xml:space="preserve"> au nom du groupe des cadres supérieurs, avant de </w:t>
      </w:r>
      <w:r w:rsidR="001937B5" w:rsidRPr="001937B5">
        <w:rPr>
          <w:rFonts w:ascii="Arial" w:hAnsi="Arial" w:cs="Arial"/>
          <w:sz w:val="24"/>
          <w:szCs w:val="24"/>
          <w:lang w:val="fr-CA"/>
        </w:rPr>
        <w:t xml:space="preserve">présenter des recommandations sur la rémunération globale </w:t>
      </w:r>
      <w:r w:rsidR="00D608DD">
        <w:rPr>
          <w:rFonts w:ascii="Arial" w:hAnsi="Arial" w:cs="Arial"/>
          <w:sz w:val="24"/>
          <w:szCs w:val="24"/>
          <w:lang w:val="fr-CA"/>
        </w:rPr>
        <w:t>à la</w:t>
      </w:r>
      <w:r w:rsidR="001937B5" w:rsidRPr="001937B5">
        <w:rPr>
          <w:rFonts w:ascii="Arial" w:hAnsi="Arial" w:cs="Arial"/>
          <w:sz w:val="24"/>
          <w:szCs w:val="24"/>
          <w:lang w:val="fr-CA"/>
        </w:rPr>
        <w:t xml:space="preserve"> président</w:t>
      </w:r>
      <w:r w:rsidR="00D608DD">
        <w:rPr>
          <w:rFonts w:ascii="Arial" w:hAnsi="Arial" w:cs="Arial"/>
          <w:sz w:val="24"/>
          <w:szCs w:val="24"/>
          <w:lang w:val="fr-CA"/>
        </w:rPr>
        <w:t>e</w:t>
      </w:r>
      <w:r w:rsidR="001937B5" w:rsidRPr="001937B5">
        <w:rPr>
          <w:rFonts w:ascii="Arial" w:hAnsi="Arial" w:cs="Arial"/>
          <w:sz w:val="24"/>
          <w:szCs w:val="24"/>
          <w:lang w:val="fr-CA"/>
        </w:rPr>
        <w:t xml:space="preserve"> du Conseil du Trésor</w:t>
      </w:r>
      <w:r w:rsidR="001937B5">
        <w:rPr>
          <w:rFonts w:ascii="Arial" w:hAnsi="Arial" w:cs="Arial"/>
          <w:sz w:val="24"/>
          <w:szCs w:val="24"/>
          <w:lang w:val="fr-CA"/>
        </w:rPr>
        <w:t>.</w:t>
      </w:r>
    </w:p>
    <w:p w14:paraId="4229A635" w14:textId="16CDCAC0" w:rsidR="001937B5" w:rsidRDefault="001937B5" w:rsidP="00FE7584">
      <w:pPr>
        <w:pStyle w:val="NoSpacing"/>
        <w:keepNext/>
        <w:keepLines/>
        <w:numPr>
          <w:ilvl w:val="0"/>
          <w:numId w:val="24"/>
        </w:numPr>
        <w:rPr>
          <w:rFonts w:ascii="Arial" w:hAnsi="Arial" w:cs="Arial"/>
          <w:sz w:val="24"/>
          <w:szCs w:val="24"/>
          <w:lang w:val="fr-CA"/>
        </w:rPr>
      </w:pPr>
      <w:r w:rsidRPr="001937B5">
        <w:rPr>
          <w:rFonts w:ascii="Arial" w:hAnsi="Arial" w:cs="Arial"/>
          <w:sz w:val="24"/>
          <w:szCs w:val="24"/>
          <w:lang w:val="fr-CA"/>
        </w:rPr>
        <w:t xml:space="preserve">Le </w:t>
      </w:r>
      <w:r>
        <w:rPr>
          <w:rFonts w:ascii="Arial" w:hAnsi="Arial" w:cs="Arial"/>
          <w:sz w:val="24"/>
          <w:szCs w:val="24"/>
          <w:lang w:val="fr-CA"/>
        </w:rPr>
        <w:t>C</w:t>
      </w:r>
      <w:r w:rsidRPr="001937B5">
        <w:rPr>
          <w:rFonts w:ascii="Arial" w:hAnsi="Arial" w:cs="Arial"/>
          <w:sz w:val="24"/>
          <w:szCs w:val="24"/>
          <w:lang w:val="fr-CA"/>
        </w:rPr>
        <w:t>omité, avec l'appui du SCT, doit retenir les services d'une société</w:t>
      </w:r>
      <w:r w:rsidR="008952C7">
        <w:rPr>
          <w:rFonts w:ascii="Arial" w:hAnsi="Arial" w:cs="Arial"/>
          <w:sz w:val="24"/>
          <w:szCs w:val="24"/>
          <w:lang w:val="fr-CA"/>
        </w:rPr>
        <w:t>-</w:t>
      </w:r>
      <w:r w:rsidRPr="001937B5">
        <w:rPr>
          <w:rFonts w:ascii="Arial" w:hAnsi="Arial" w:cs="Arial"/>
          <w:sz w:val="24"/>
          <w:szCs w:val="24"/>
          <w:lang w:val="fr-CA"/>
        </w:rPr>
        <w:t>conseil indépendante pour mener une étude annuelle sur les données de la rémunération globale et le marché du travail pour le groupe des cadres supérieurs en utilisant les comparateurs internes et externes approuvés par le comité.</w:t>
      </w:r>
    </w:p>
    <w:p w14:paraId="2BD8FD1E" w14:textId="5DB81F90" w:rsidR="001937B5" w:rsidRDefault="001937B5" w:rsidP="00FE7584">
      <w:pPr>
        <w:pStyle w:val="NoSpacing"/>
        <w:keepNext/>
        <w:keepLines/>
        <w:numPr>
          <w:ilvl w:val="0"/>
          <w:numId w:val="24"/>
        </w:numPr>
        <w:rPr>
          <w:rFonts w:ascii="Arial" w:hAnsi="Arial" w:cs="Arial"/>
          <w:sz w:val="24"/>
          <w:szCs w:val="24"/>
          <w:lang w:val="fr-CA"/>
        </w:rPr>
      </w:pPr>
      <w:r w:rsidRPr="001937B5">
        <w:rPr>
          <w:rFonts w:ascii="Arial" w:hAnsi="Arial" w:cs="Arial"/>
          <w:sz w:val="24"/>
          <w:szCs w:val="24"/>
          <w:lang w:val="fr-CA"/>
        </w:rPr>
        <w:t xml:space="preserve">Le </w:t>
      </w:r>
      <w:r>
        <w:rPr>
          <w:rFonts w:ascii="Arial" w:hAnsi="Arial" w:cs="Arial"/>
          <w:sz w:val="24"/>
          <w:szCs w:val="24"/>
          <w:lang w:val="fr-CA"/>
        </w:rPr>
        <w:t>C</w:t>
      </w:r>
      <w:r w:rsidRPr="001937B5">
        <w:rPr>
          <w:rFonts w:ascii="Arial" w:hAnsi="Arial" w:cs="Arial"/>
          <w:sz w:val="24"/>
          <w:szCs w:val="24"/>
          <w:lang w:val="fr-CA"/>
        </w:rPr>
        <w:t xml:space="preserve">omité examinera périodiquement le régime de rémunération au rendement à risque, avec un examen obligatoire au cours de la première année d'existence du </w:t>
      </w:r>
      <w:r w:rsidR="008F075C">
        <w:rPr>
          <w:rFonts w:ascii="Arial" w:hAnsi="Arial" w:cs="Arial"/>
          <w:sz w:val="24"/>
          <w:szCs w:val="24"/>
          <w:lang w:val="fr-CA"/>
        </w:rPr>
        <w:t>C</w:t>
      </w:r>
      <w:r w:rsidRPr="001937B5">
        <w:rPr>
          <w:rFonts w:ascii="Arial" w:hAnsi="Arial" w:cs="Arial"/>
          <w:sz w:val="24"/>
          <w:szCs w:val="24"/>
          <w:lang w:val="fr-CA"/>
        </w:rPr>
        <w:t>omité.</w:t>
      </w:r>
    </w:p>
    <w:p w14:paraId="7B9FBB6A" w14:textId="2F025952" w:rsidR="008F075C" w:rsidRDefault="008F075C" w:rsidP="00FE7584">
      <w:pPr>
        <w:pStyle w:val="NoSpacing"/>
        <w:keepNext/>
        <w:keepLines/>
        <w:numPr>
          <w:ilvl w:val="0"/>
          <w:numId w:val="24"/>
        </w:numPr>
        <w:rPr>
          <w:rFonts w:ascii="Arial" w:hAnsi="Arial" w:cs="Arial"/>
          <w:sz w:val="24"/>
          <w:szCs w:val="24"/>
          <w:lang w:val="fr-CA"/>
        </w:rPr>
      </w:pPr>
      <w:r w:rsidRPr="008F075C">
        <w:rPr>
          <w:rFonts w:ascii="Arial" w:hAnsi="Arial" w:cs="Arial"/>
          <w:sz w:val="24"/>
          <w:szCs w:val="24"/>
          <w:lang w:val="fr-CA"/>
        </w:rPr>
        <w:lastRenderedPageBreak/>
        <w:t xml:space="preserve">Le </w:t>
      </w:r>
      <w:r>
        <w:rPr>
          <w:rFonts w:ascii="Arial" w:hAnsi="Arial" w:cs="Arial"/>
          <w:sz w:val="24"/>
          <w:szCs w:val="24"/>
          <w:lang w:val="fr-CA"/>
        </w:rPr>
        <w:t>C</w:t>
      </w:r>
      <w:r w:rsidRPr="008F075C">
        <w:rPr>
          <w:rFonts w:ascii="Arial" w:hAnsi="Arial" w:cs="Arial"/>
          <w:sz w:val="24"/>
          <w:szCs w:val="24"/>
          <w:lang w:val="fr-CA"/>
        </w:rPr>
        <w:t>omité examinera périodiquement la pertinence et l'efficacité de la structure de classification et de la méthode d'évaluation de la classification pour le groupe des cadres supérieurs.</w:t>
      </w:r>
    </w:p>
    <w:p w14:paraId="22154C37" w14:textId="4A009687" w:rsidR="004B7969" w:rsidRDefault="008F075C" w:rsidP="008F075C">
      <w:pPr>
        <w:spacing w:after="160" w:line="259" w:lineRule="auto"/>
        <w:rPr>
          <w:rFonts w:ascii="Arial" w:hAnsi="Arial" w:cs="Arial"/>
          <w:sz w:val="24"/>
        </w:rPr>
      </w:pPr>
      <w:r w:rsidRPr="008F075C">
        <w:rPr>
          <w:rFonts w:ascii="Arial" w:hAnsi="Arial" w:cs="Arial"/>
          <w:sz w:val="24"/>
        </w:rPr>
        <w:t xml:space="preserve"> </w:t>
      </w:r>
    </w:p>
    <w:p w14:paraId="1335823A" w14:textId="3152C551" w:rsidR="004B7969" w:rsidRPr="009E03A1" w:rsidRDefault="008F075C" w:rsidP="00F41F01">
      <w:pPr>
        <w:pStyle w:val="Heading2"/>
      </w:pPr>
      <w:bookmarkStart w:id="7" w:name="_Toc127212923"/>
      <w:r w:rsidRPr="009E03A1">
        <w:t>Principes directeurs</w:t>
      </w:r>
      <w:bookmarkEnd w:id="7"/>
    </w:p>
    <w:p w14:paraId="06D19569" w14:textId="77777777" w:rsidR="004B7969" w:rsidRPr="009E03A1" w:rsidRDefault="004B7969" w:rsidP="004B7969">
      <w:pPr>
        <w:pStyle w:val="NoSpacing"/>
        <w:rPr>
          <w:rFonts w:ascii="Arial" w:hAnsi="Arial" w:cs="Arial"/>
          <w:sz w:val="24"/>
          <w:szCs w:val="24"/>
          <w:lang w:val="fr-CA"/>
        </w:rPr>
      </w:pPr>
    </w:p>
    <w:p w14:paraId="70B95B74" w14:textId="1A75AF99" w:rsidR="009E03A1" w:rsidRDefault="009E03A1" w:rsidP="004B7969">
      <w:pPr>
        <w:pStyle w:val="NoSpacing"/>
        <w:rPr>
          <w:rFonts w:ascii="Arial" w:hAnsi="Arial" w:cs="Arial"/>
          <w:sz w:val="24"/>
          <w:szCs w:val="24"/>
          <w:lang w:val="fr-CA"/>
        </w:rPr>
      </w:pPr>
      <w:bookmarkStart w:id="8" w:name="_Hlk126650545"/>
      <w:r w:rsidRPr="009E03A1">
        <w:rPr>
          <w:rFonts w:ascii="Arial" w:hAnsi="Arial" w:cs="Arial"/>
          <w:sz w:val="24"/>
          <w:szCs w:val="24"/>
          <w:lang w:val="fr-CA"/>
        </w:rPr>
        <w:t>Le travail du Comité et les recommandations qu'il formule pour guider le gouvernement dans ses décisions concernant la rémunération, les politiques et les avantages sociaux des cadres supérieurs et le</w:t>
      </w:r>
      <w:r>
        <w:rPr>
          <w:rFonts w:ascii="Arial" w:hAnsi="Arial" w:cs="Arial"/>
          <w:sz w:val="24"/>
          <w:szCs w:val="24"/>
          <w:lang w:val="fr-CA"/>
        </w:rPr>
        <w:t>urs</w:t>
      </w:r>
      <w:r w:rsidRPr="009E03A1">
        <w:rPr>
          <w:rFonts w:ascii="Arial" w:hAnsi="Arial" w:cs="Arial"/>
          <w:sz w:val="24"/>
          <w:szCs w:val="24"/>
          <w:lang w:val="fr-CA"/>
        </w:rPr>
        <w:t xml:space="preserve"> conditions d'emploi doivent être fondés sur les principes suivants :  </w:t>
      </w:r>
    </w:p>
    <w:bookmarkEnd w:id="8"/>
    <w:p w14:paraId="6B5CEE22" w14:textId="77777777" w:rsidR="004B7969" w:rsidRPr="009E03A1" w:rsidRDefault="004B7969" w:rsidP="004B7969">
      <w:pPr>
        <w:pStyle w:val="NoSpacing"/>
        <w:rPr>
          <w:rFonts w:ascii="Arial" w:hAnsi="Arial" w:cs="Arial"/>
          <w:sz w:val="24"/>
          <w:szCs w:val="24"/>
          <w:lang w:val="fr-CA"/>
        </w:rPr>
      </w:pPr>
    </w:p>
    <w:p w14:paraId="7BED04B1" w14:textId="0E8AF625" w:rsidR="009E03A1" w:rsidRPr="009E03A1" w:rsidRDefault="009E03A1" w:rsidP="004B7969">
      <w:pPr>
        <w:pStyle w:val="NoSpacing"/>
        <w:numPr>
          <w:ilvl w:val="0"/>
          <w:numId w:val="24"/>
        </w:numPr>
        <w:rPr>
          <w:rFonts w:ascii="Arial" w:hAnsi="Arial" w:cs="Arial"/>
          <w:sz w:val="24"/>
          <w:szCs w:val="24"/>
          <w:lang w:val="fr-CA"/>
        </w:rPr>
      </w:pPr>
      <w:r w:rsidRPr="009E03A1">
        <w:rPr>
          <w:rFonts w:ascii="Arial" w:hAnsi="Arial" w:cs="Arial"/>
          <w:sz w:val="24"/>
          <w:szCs w:val="24"/>
          <w:lang w:val="fr-CA"/>
        </w:rPr>
        <w:t>La rémunération globale des cadres supérieurs, y compris la rémunération au rendement</w:t>
      </w:r>
      <w:r>
        <w:rPr>
          <w:rFonts w:ascii="Arial" w:hAnsi="Arial" w:cs="Arial"/>
          <w:sz w:val="24"/>
          <w:szCs w:val="24"/>
          <w:lang w:val="fr-CA"/>
        </w:rPr>
        <w:t xml:space="preserve"> </w:t>
      </w:r>
      <w:r w:rsidRPr="009E03A1">
        <w:rPr>
          <w:rFonts w:ascii="Arial" w:hAnsi="Arial" w:cs="Arial"/>
          <w:sz w:val="24"/>
          <w:szCs w:val="24"/>
          <w:lang w:val="fr-CA"/>
        </w:rPr>
        <w:t>et les conditions d'emploi</w:t>
      </w:r>
      <w:r>
        <w:rPr>
          <w:rFonts w:ascii="Arial" w:hAnsi="Arial" w:cs="Arial"/>
          <w:sz w:val="24"/>
          <w:szCs w:val="24"/>
          <w:lang w:val="fr-CA"/>
        </w:rPr>
        <w:t>,</w:t>
      </w:r>
      <w:r w:rsidRPr="009E03A1">
        <w:rPr>
          <w:rFonts w:ascii="Arial" w:hAnsi="Arial" w:cs="Arial"/>
          <w:sz w:val="24"/>
          <w:szCs w:val="24"/>
          <w:lang w:val="fr-CA"/>
        </w:rPr>
        <w:t xml:space="preserve"> sont justes, objectives</w:t>
      </w:r>
      <w:r>
        <w:rPr>
          <w:rFonts w:ascii="Arial" w:hAnsi="Arial" w:cs="Arial"/>
          <w:sz w:val="24"/>
          <w:szCs w:val="24"/>
          <w:lang w:val="fr-CA"/>
        </w:rPr>
        <w:t xml:space="preserve">, </w:t>
      </w:r>
      <w:r w:rsidRPr="009E03A1">
        <w:rPr>
          <w:rFonts w:ascii="Arial" w:hAnsi="Arial" w:cs="Arial"/>
          <w:sz w:val="24"/>
          <w:szCs w:val="24"/>
          <w:lang w:val="fr-CA"/>
        </w:rPr>
        <w:t>transparentes</w:t>
      </w:r>
      <w:r>
        <w:rPr>
          <w:rFonts w:ascii="Arial" w:hAnsi="Arial" w:cs="Arial"/>
          <w:sz w:val="24"/>
          <w:szCs w:val="24"/>
          <w:lang w:val="fr-CA"/>
        </w:rPr>
        <w:t>, disponibles en temps opportun,</w:t>
      </w:r>
      <w:r w:rsidRPr="009E03A1">
        <w:rPr>
          <w:rFonts w:ascii="Arial" w:hAnsi="Arial" w:cs="Arial"/>
          <w:sz w:val="24"/>
          <w:szCs w:val="24"/>
          <w:lang w:val="fr-CA"/>
        </w:rPr>
        <w:t xml:space="preserve"> </w:t>
      </w:r>
      <w:r>
        <w:rPr>
          <w:rFonts w:ascii="Arial" w:hAnsi="Arial" w:cs="Arial"/>
          <w:sz w:val="24"/>
          <w:szCs w:val="24"/>
          <w:lang w:val="fr-CA"/>
        </w:rPr>
        <w:t xml:space="preserve">et efficaces </w:t>
      </w:r>
      <w:r w:rsidRPr="009E03A1">
        <w:rPr>
          <w:rFonts w:ascii="Arial" w:hAnsi="Arial" w:cs="Arial"/>
          <w:sz w:val="24"/>
          <w:szCs w:val="24"/>
          <w:lang w:val="fr-CA"/>
        </w:rPr>
        <w:t>pour attirer et retenir les meilleurs talents au sein du groupe des cadres supérieurs.</w:t>
      </w:r>
    </w:p>
    <w:p w14:paraId="1D68C1A6" w14:textId="3BE8FC85" w:rsidR="009E03A1" w:rsidRDefault="00E042A0" w:rsidP="004B7969">
      <w:pPr>
        <w:pStyle w:val="NoSpacing"/>
        <w:numPr>
          <w:ilvl w:val="0"/>
          <w:numId w:val="24"/>
        </w:numPr>
        <w:rPr>
          <w:rFonts w:ascii="Arial" w:hAnsi="Arial" w:cs="Arial"/>
          <w:sz w:val="24"/>
          <w:szCs w:val="24"/>
          <w:lang w:val="fr-CA"/>
        </w:rPr>
      </w:pPr>
      <w:r w:rsidRPr="00E042A0">
        <w:rPr>
          <w:rFonts w:ascii="Arial" w:hAnsi="Arial" w:cs="Arial"/>
          <w:sz w:val="24"/>
          <w:szCs w:val="24"/>
          <w:lang w:val="fr-CA"/>
        </w:rPr>
        <w:t xml:space="preserve">La reconnaissance de la valeur du </w:t>
      </w:r>
      <w:r>
        <w:rPr>
          <w:rFonts w:ascii="Arial" w:hAnsi="Arial" w:cs="Arial"/>
          <w:sz w:val="24"/>
          <w:szCs w:val="24"/>
          <w:lang w:val="fr-CA"/>
        </w:rPr>
        <w:t>g</w:t>
      </w:r>
      <w:r w:rsidRPr="00E042A0">
        <w:rPr>
          <w:rFonts w:ascii="Arial" w:hAnsi="Arial" w:cs="Arial"/>
          <w:sz w:val="24"/>
          <w:szCs w:val="24"/>
          <w:lang w:val="fr-CA"/>
        </w:rPr>
        <w:t xml:space="preserve">roupe des cadres supérieurs pour les Canadiens et le Canada guidera les recommandations du Comité </w:t>
      </w:r>
      <w:r w:rsidR="00DD6FAB">
        <w:rPr>
          <w:rFonts w:ascii="Arial" w:hAnsi="Arial" w:cs="Arial"/>
          <w:sz w:val="24"/>
          <w:szCs w:val="24"/>
          <w:lang w:val="fr-CA"/>
        </w:rPr>
        <w:t>à la</w:t>
      </w:r>
      <w:r w:rsidRPr="00E042A0">
        <w:rPr>
          <w:rFonts w:ascii="Arial" w:hAnsi="Arial" w:cs="Arial"/>
          <w:sz w:val="24"/>
          <w:szCs w:val="24"/>
          <w:lang w:val="fr-CA"/>
        </w:rPr>
        <w:t xml:space="preserve"> président</w:t>
      </w:r>
      <w:r w:rsidR="00DD6FAB">
        <w:rPr>
          <w:rFonts w:ascii="Arial" w:hAnsi="Arial" w:cs="Arial"/>
          <w:sz w:val="24"/>
          <w:szCs w:val="24"/>
          <w:lang w:val="fr-CA"/>
        </w:rPr>
        <w:t>e</w:t>
      </w:r>
      <w:r w:rsidRPr="00E042A0">
        <w:rPr>
          <w:rFonts w:ascii="Arial" w:hAnsi="Arial" w:cs="Arial"/>
          <w:sz w:val="24"/>
          <w:szCs w:val="24"/>
          <w:lang w:val="fr-CA"/>
        </w:rPr>
        <w:t xml:space="preserve"> du Conseil du Trésor.</w:t>
      </w:r>
    </w:p>
    <w:p w14:paraId="4752FD86" w14:textId="0465B73F" w:rsidR="00E042A0" w:rsidRDefault="00E042A0" w:rsidP="004B7969">
      <w:pPr>
        <w:pStyle w:val="NoSpacing"/>
        <w:numPr>
          <w:ilvl w:val="0"/>
          <w:numId w:val="24"/>
        </w:numPr>
        <w:rPr>
          <w:rFonts w:ascii="Arial" w:hAnsi="Arial" w:cs="Arial"/>
          <w:sz w:val="24"/>
          <w:szCs w:val="24"/>
          <w:lang w:val="fr-CA"/>
        </w:rPr>
      </w:pPr>
      <w:r w:rsidRPr="00E042A0">
        <w:rPr>
          <w:rFonts w:ascii="Arial" w:hAnsi="Arial" w:cs="Arial"/>
          <w:sz w:val="24"/>
          <w:szCs w:val="24"/>
          <w:lang w:val="fr-CA"/>
        </w:rPr>
        <w:t xml:space="preserve">La rémunération globale accordée au </w:t>
      </w:r>
      <w:r>
        <w:rPr>
          <w:rFonts w:ascii="Arial" w:hAnsi="Arial" w:cs="Arial"/>
          <w:sz w:val="24"/>
          <w:szCs w:val="24"/>
          <w:lang w:val="fr-CA"/>
        </w:rPr>
        <w:t>g</w:t>
      </w:r>
      <w:r w:rsidRPr="00E042A0">
        <w:rPr>
          <w:rFonts w:ascii="Arial" w:hAnsi="Arial" w:cs="Arial"/>
          <w:sz w:val="24"/>
          <w:szCs w:val="24"/>
          <w:lang w:val="fr-CA"/>
        </w:rPr>
        <w:t xml:space="preserve">roupe des cadres supérieurs ne doit pas être régie par les résultats des groupes </w:t>
      </w:r>
      <w:r w:rsidR="008952C7">
        <w:rPr>
          <w:rFonts w:ascii="Arial" w:hAnsi="Arial" w:cs="Arial"/>
          <w:sz w:val="24"/>
          <w:szCs w:val="24"/>
          <w:lang w:val="fr-CA"/>
        </w:rPr>
        <w:t>syndiqués</w:t>
      </w:r>
      <w:r w:rsidRPr="00E042A0">
        <w:rPr>
          <w:rFonts w:ascii="Arial" w:hAnsi="Arial" w:cs="Arial"/>
          <w:sz w:val="24"/>
          <w:szCs w:val="24"/>
          <w:lang w:val="fr-CA"/>
        </w:rPr>
        <w:t>, ni retardée en raison de la négociation collective</w:t>
      </w:r>
      <w:r>
        <w:rPr>
          <w:rFonts w:ascii="Arial" w:hAnsi="Arial" w:cs="Arial"/>
          <w:sz w:val="24"/>
          <w:szCs w:val="24"/>
          <w:lang w:val="fr-CA"/>
        </w:rPr>
        <w:t>.</w:t>
      </w:r>
    </w:p>
    <w:p w14:paraId="072BB373" w14:textId="73FA3942" w:rsidR="00E042A0" w:rsidRDefault="00E042A0" w:rsidP="004B7969">
      <w:pPr>
        <w:pStyle w:val="NoSpacing"/>
        <w:numPr>
          <w:ilvl w:val="0"/>
          <w:numId w:val="24"/>
        </w:numPr>
        <w:rPr>
          <w:rFonts w:ascii="Arial" w:hAnsi="Arial" w:cs="Arial"/>
          <w:sz w:val="24"/>
          <w:szCs w:val="24"/>
          <w:lang w:val="fr-CA"/>
        </w:rPr>
      </w:pPr>
      <w:r w:rsidRPr="00E042A0">
        <w:rPr>
          <w:rFonts w:ascii="Arial" w:hAnsi="Arial" w:cs="Arial"/>
          <w:sz w:val="24"/>
          <w:szCs w:val="24"/>
          <w:lang w:val="fr-CA"/>
        </w:rPr>
        <w:t>Les données annuelles indépendantes et les études du marché du travail utilisées pour étayer les recommandations en matière de rémunération sont de la plus haute qualité et garantissent l'équité.</w:t>
      </w:r>
    </w:p>
    <w:p w14:paraId="61738D43" w14:textId="62B7FEAD" w:rsidR="00E042A0" w:rsidRDefault="00E042A0" w:rsidP="004B7969">
      <w:pPr>
        <w:pStyle w:val="NoSpacing"/>
        <w:numPr>
          <w:ilvl w:val="0"/>
          <w:numId w:val="24"/>
        </w:numPr>
        <w:rPr>
          <w:rFonts w:ascii="Arial" w:hAnsi="Arial" w:cs="Arial"/>
          <w:sz w:val="24"/>
          <w:szCs w:val="24"/>
          <w:lang w:val="fr-CA"/>
        </w:rPr>
      </w:pPr>
      <w:r w:rsidRPr="00E042A0">
        <w:rPr>
          <w:rFonts w:ascii="Arial" w:hAnsi="Arial" w:cs="Arial"/>
          <w:sz w:val="24"/>
          <w:szCs w:val="24"/>
          <w:lang w:val="fr-CA"/>
        </w:rPr>
        <w:t xml:space="preserve">Les résultats des données annuelles indépendantes et des études du marché du travail sont communiqués à l'APEX en temps opportun à des fins de transparence et de contribution au </w:t>
      </w:r>
      <w:r>
        <w:rPr>
          <w:rFonts w:ascii="Arial" w:hAnsi="Arial" w:cs="Arial"/>
          <w:sz w:val="24"/>
          <w:szCs w:val="24"/>
          <w:lang w:val="fr-CA"/>
        </w:rPr>
        <w:t>C</w:t>
      </w:r>
      <w:r w:rsidRPr="00E042A0">
        <w:rPr>
          <w:rFonts w:ascii="Arial" w:hAnsi="Arial" w:cs="Arial"/>
          <w:sz w:val="24"/>
          <w:szCs w:val="24"/>
          <w:lang w:val="fr-CA"/>
        </w:rPr>
        <w:t xml:space="preserve">omité avant que les recommandations ne soient transmises </w:t>
      </w:r>
      <w:r w:rsidR="00DD6FAB">
        <w:rPr>
          <w:rFonts w:ascii="Arial" w:hAnsi="Arial" w:cs="Arial"/>
          <w:sz w:val="24"/>
          <w:szCs w:val="24"/>
          <w:lang w:val="fr-CA"/>
        </w:rPr>
        <w:t>à la</w:t>
      </w:r>
      <w:r w:rsidRPr="00E042A0">
        <w:rPr>
          <w:rFonts w:ascii="Arial" w:hAnsi="Arial" w:cs="Arial"/>
          <w:sz w:val="24"/>
          <w:szCs w:val="24"/>
          <w:lang w:val="fr-CA"/>
        </w:rPr>
        <w:t xml:space="preserve"> président</w:t>
      </w:r>
      <w:r w:rsidR="00DD6FAB">
        <w:rPr>
          <w:rFonts w:ascii="Arial" w:hAnsi="Arial" w:cs="Arial"/>
          <w:sz w:val="24"/>
          <w:szCs w:val="24"/>
          <w:lang w:val="fr-CA"/>
        </w:rPr>
        <w:t>e</w:t>
      </w:r>
      <w:r w:rsidRPr="00E042A0">
        <w:rPr>
          <w:rFonts w:ascii="Arial" w:hAnsi="Arial" w:cs="Arial"/>
          <w:sz w:val="24"/>
          <w:szCs w:val="24"/>
          <w:lang w:val="fr-CA"/>
        </w:rPr>
        <w:t xml:space="preserve"> du Conseil du Trésor</w:t>
      </w:r>
      <w:r>
        <w:rPr>
          <w:rFonts w:ascii="Arial" w:hAnsi="Arial" w:cs="Arial"/>
          <w:sz w:val="24"/>
          <w:szCs w:val="24"/>
          <w:lang w:val="fr-CA"/>
        </w:rPr>
        <w:t>.</w:t>
      </w:r>
    </w:p>
    <w:p w14:paraId="6D0F9802" w14:textId="430BAADA" w:rsidR="00E042A0" w:rsidRDefault="00E042A0" w:rsidP="004B7969">
      <w:pPr>
        <w:pStyle w:val="NoSpacing"/>
        <w:numPr>
          <w:ilvl w:val="0"/>
          <w:numId w:val="24"/>
        </w:numPr>
        <w:rPr>
          <w:rFonts w:ascii="Arial" w:hAnsi="Arial" w:cs="Arial"/>
          <w:sz w:val="24"/>
          <w:szCs w:val="24"/>
          <w:lang w:val="fr-CA"/>
        </w:rPr>
      </w:pPr>
      <w:r w:rsidRPr="00E042A0">
        <w:rPr>
          <w:rFonts w:ascii="Arial" w:hAnsi="Arial" w:cs="Arial"/>
          <w:sz w:val="24"/>
          <w:szCs w:val="24"/>
          <w:lang w:val="fr-CA"/>
        </w:rPr>
        <w:t>Les recommandations et les décisions en matière de rémunération doivent être prises en temps opportun et sont donc examinées, recommandées et ajustées chaque année</w:t>
      </w:r>
      <w:r w:rsidR="00E2142F">
        <w:rPr>
          <w:rFonts w:ascii="Arial" w:hAnsi="Arial" w:cs="Arial"/>
          <w:sz w:val="24"/>
          <w:szCs w:val="24"/>
          <w:lang w:val="fr-CA"/>
        </w:rPr>
        <w:t>.</w:t>
      </w:r>
    </w:p>
    <w:p w14:paraId="31A64576" w14:textId="67E323C1" w:rsidR="00E2142F" w:rsidRDefault="00E2142F" w:rsidP="004B7969">
      <w:pPr>
        <w:pStyle w:val="NoSpacing"/>
        <w:numPr>
          <w:ilvl w:val="0"/>
          <w:numId w:val="24"/>
        </w:numPr>
        <w:rPr>
          <w:rFonts w:ascii="Arial" w:hAnsi="Arial" w:cs="Arial"/>
          <w:sz w:val="24"/>
          <w:szCs w:val="24"/>
          <w:lang w:val="fr-CA"/>
        </w:rPr>
      </w:pPr>
      <w:r w:rsidRPr="00E2142F">
        <w:rPr>
          <w:rFonts w:ascii="Arial" w:hAnsi="Arial" w:cs="Arial"/>
          <w:sz w:val="24"/>
          <w:szCs w:val="24"/>
          <w:lang w:val="fr-CA"/>
        </w:rPr>
        <w:t>La mise en œuvre des recommandations du Comité sur la rémunération des cadres doit également être effectuée en temps opportun</w:t>
      </w:r>
      <w:r>
        <w:rPr>
          <w:rFonts w:ascii="Arial" w:hAnsi="Arial" w:cs="Arial"/>
          <w:sz w:val="24"/>
          <w:szCs w:val="24"/>
          <w:lang w:val="fr-CA"/>
        </w:rPr>
        <w:t>.</w:t>
      </w:r>
    </w:p>
    <w:p w14:paraId="0FDF8C2A" w14:textId="7DCF0E70" w:rsidR="00E2142F" w:rsidRDefault="00E2142F" w:rsidP="004B7969">
      <w:pPr>
        <w:pStyle w:val="NoSpacing"/>
        <w:numPr>
          <w:ilvl w:val="0"/>
          <w:numId w:val="24"/>
        </w:numPr>
        <w:rPr>
          <w:rFonts w:ascii="Arial" w:hAnsi="Arial" w:cs="Arial"/>
          <w:sz w:val="24"/>
          <w:szCs w:val="24"/>
          <w:lang w:val="fr-CA"/>
        </w:rPr>
      </w:pPr>
      <w:r w:rsidRPr="00E2142F">
        <w:rPr>
          <w:rFonts w:ascii="Arial" w:hAnsi="Arial" w:cs="Arial"/>
          <w:sz w:val="24"/>
          <w:szCs w:val="24"/>
          <w:lang w:val="fr-CA"/>
        </w:rPr>
        <w:t xml:space="preserve">Un régime de rémunération à risque, fondé sur le rendement mesuré par rapport à des objectifs et des comportements prédéterminés, doit être efficace pour attirer et </w:t>
      </w:r>
      <w:r w:rsidRPr="00E2142F">
        <w:rPr>
          <w:rFonts w:ascii="Arial" w:hAnsi="Arial" w:cs="Arial"/>
          <w:sz w:val="24"/>
          <w:szCs w:val="24"/>
          <w:lang w:val="fr-CA"/>
        </w:rPr>
        <w:lastRenderedPageBreak/>
        <w:t>retenir les meilleurs talents, ainsi que pour corriger tout déséquilibre entre l'effort et la récompense.</w:t>
      </w:r>
    </w:p>
    <w:p w14:paraId="0B69CD49" w14:textId="752AC95E" w:rsidR="00E2142F" w:rsidRDefault="00E2142F" w:rsidP="004B7969">
      <w:pPr>
        <w:pStyle w:val="NoSpacing"/>
        <w:numPr>
          <w:ilvl w:val="0"/>
          <w:numId w:val="24"/>
        </w:numPr>
        <w:rPr>
          <w:rFonts w:ascii="Arial" w:hAnsi="Arial" w:cs="Arial"/>
          <w:sz w:val="24"/>
          <w:szCs w:val="24"/>
          <w:lang w:val="fr-CA"/>
        </w:rPr>
      </w:pPr>
      <w:r w:rsidRPr="00E2142F">
        <w:rPr>
          <w:rFonts w:ascii="Arial" w:hAnsi="Arial" w:cs="Arial"/>
          <w:sz w:val="24"/>
          <w:szCs w:val="24"/>
          <w:lang w:val="fr-CA"/>
        </w:rPr>
        <w:t>Les recommandations en matière de rémunération globale doivent garantir et maintenir une relativité appropriée par rapport aux groupes de relève internes, en accordant une attention particulière à la compression et à l'inversion des salaires</w:t>
      </w:r>
      <w:r>
        <w:rPr>
          <w:rFonts w:ascii="Arial" w:hAnsi="Arial" w:cs="Arial"/>
          <w:sz w:val="24"/>
          <w:szCs w:val="24"/>
          <w:lang w:val="fr-CA"/>
        </w:rPr>
        <w:t>,</w:t>
      </w:r>
      <w:r w:rsidRPr="00E2142F">
        <w:rPr>
          <w:rFonts w:ascii="Arial" w:hAnsi="Arial" w:cs="Arial"/>
          <w:sz w:val="24"/>
          <w:szCs w:val="24"/>
          <w:lang w:val="fr-CA"/>
        </w:rPr>
        <w:t xml:space="preserve"> afin de susciter et de maintenir un haut niveau d'intérêt </w:t>
      </w:r>
      <w:r>
        <w:rPr>
          <w:rFonts w:ascii="Arial" w:hAnsi="Arial" w:cs="Arial"/>
          <w:sz w:val="24"/>
          <w:szCs w:val="24"/>
          <w:lang w:val="fr-CA"/>
        </w:rPr>
        <w:t xml:space="preserve">à joindre </w:t>
      </w:r>
      <w:r w:rsidRPr="00E2142F">
        <w:rPr>
          <w:rFonts w:ascii="Arial" w:hAnsi="Arial" w:cs="Arial"/>
          <w:sz w:val="24"/>
          <w:szCs w:val="24"/>
          <w:lang w:val="fr-CA"/>
        </w:rPr>
        <w:t xml:space="preserve">le groupe de </w:t>
      </w:r>
      <w:r>
        <w:rPr>
          <w:rFonts w:ascii="Arial" w:hAnsi="Arial" w:cs="Arial"/>
          <w:sz w:val="24"/>
          <w:szCs w:val="24"/>
          <w:lang w:val="fr-CA"/>
        </w:rPr>
        <w:t>cadres supérieurs</w:t>
      </w:r>
      <w:r w:rsidRPr="00E2142F">
        <w:rPr>
          <w:rFonts w:ascii="Arial" w:hAnsi="Arial" w:cs="Arial"/>
          <w:sz w:val="24"/>
          <w:szCs w:val="24"/>
          <w:lang w:val="fr-CA"/>
        </w:rPr>
        <w:t xml:space="preserve">.  </w:t>
      </w:r>
    </w:p>
    <w:p w14:paraId="28929B93" w14:textId="72B131B0" w:rsidR="00E042A0" w:rsidRPr="009E03A1" w:rsidRDefault="00E2142F" w:rsidP="004B7969">
      <w:pPr>
        <w:pStyle w:val="NoSpacing"/>
        <w:numPr>
          <w:ilvl w:val="0"/>
          <w:numId w:val="24"/>
        </w:numPr>
        <w:rPr>
          <w:rFonts w:ascii="Arial" w:hAnsi="Arial" w:cs="Arial"/>
          <w:sz w:val="24"/>
          <w:szCs w:val="24"/>
          <w:lang w:val="fr-CA"/>
        </w:rPr>
      </w:pPr>
      <w:r w:rsidRPr="00E2142F">
        <w:rPr>
          <w:rFonts w:ascii="Arial" w:hAnsi="Arial" w:cs="Arial"/>
          <w:sz w:val="24"/>
          <w:szCs w:val="24"/>
          <w:lang w:val="fr-CA"/>
        </w:rPr>
        <w:t xml:space="preserve">Le renforcement de la distinction entre les groupes </w:t>
      </w:r>
      <w:r>
        <w:rPr>
          <w:rFonts w:ascii="Arial" w:hAnsi="Arial" w:cs="Arial"/>
          <w:sz w:val="24"/>
          <w:szCs w:val="24"/>
          <w:lang w:val="fr-CA"/>
        </w:rPr>
        <w:t>de cadres supérieurs</w:t>
      </w:r>
      <w:r w:rsidRPr="00E2142F">
        <w:rPr>
          <w:rFonts w:ascii="Arial" w:hAnsi="Arial" w:cs="Arial"/>
          <w:sz w:val="24"/>
          <w:szCs w:val="24"/>
          <w:lang w:val="fr-CA"/>
        </w:rPr>
        <w:t xml:space="preserve"> et </w:t>
      </w:r>
      <w:r>
        <w:rPr>
          <w:rFonts w:ascii="Arial" w:hAnsi="Arial" w:cs="Arial"/>
          <w:sz w:val="24"/>
          <w:szCs w:val="24"/>
          <w:lang w:val="fr-CA"/>
        </w:rPr>
        <w:t>les groupes</w:t>
      </w:r>
      <w:r w:rsidRPr="00E2142F">
        <w:rPr>
          <w:rFonts w:ascii="Arial" w:hAnsi="Arial" w:cs="Arial"/>
          <w:sz w:val="24"/>
          <w:szCs w:val="24"/>
          <w:lang w:val="fr-CA"/>
        </w:rPr>
        <w:t xml:space="preserve"> </w:t>
      </w:r>
      <w:r w:rsidR="000377AA">
        <w:rPr>
          <w:rFonts w:ascii="Arial" w:hAnsi="Arial" w:cs="Arial"/>
          <w:sz w:val="24"/>
          <w:szCs w:val="24"/>
          <w:lang w:val="fr-CA"/>
        </w:rPr>
        <w:t xml:space="preserve">syndiqués </w:t>
      </w:r>
      <w:r w:rsidRPr="00E2142F">
        <w:rPr>
          <w:rFonts w:ascii="Arial" w:hAnsi="Arial" w:cs="Arial"/>
          <w:sz w:val="24"/>
          <w:szCs w:val="24"/>
          <w:lang w:val="fr-CA"/>
        </w:rPr>
        <w:t>doit guider et informer les recommandations du Comité sur la rémunération globale, les conditions d'emploi, les avantages sociaux, les avantages accessoires et les politiques</w:t>
      </w:r>
      <w:r>
        <w:rPr>
          <w:rFonts w:ascii="Arial" w:hAnsi="Arial" w:cs="Arial"/>
          <w:sz w:val="24"/>
          <w:szCs w:val="24"/>
          <w:lang w:val="fr-CA"/>
        </w:rPr>
        <w:t>.</w:t>
      </w:r>
    </w:p>
    <w:p w14:paraId="783A5C02" w14:textId="0B17F441" w:rsidR="009E03A1" w:rsidRPr="009E03A1" w:rsidRDefault="00E2142F" w:rsidP="004B7969">
      <w:pPr>
        <w:pStyle w:val="NoSpacing"/>
        <w:numPr>
          <w:ilvl w:val="0"/>
          <w:numId w:val="24"/>
        </w:numPr>
        <w:rPr>
          <w:rFonts w:ascii="Arial" w:hAnsi="Arial" w:cs="Arial"/>
          <w:sz w:val="24"/>
          <w:szCs w:val="24"/>
          <w:lang w:val="fr-CA"/>
        </w:rPr>
      </w:pPr>
      <w:r w:rsidRPr="00E2142F">
        <w:rPr>
          <w:rFonts w:ascii="Arial" w:hAnsi="Arial" w:cs="Arial"/>
          <w:sz w:val="24"/>
          <w:szCs w:val="24"/>
          <w:lang w:val="fr-CA"/>
        </w:rPr>
        <w:t xml:space="preserve">La structure de classification du </w:t>
      </w:r>
      <w:r>
        <w:rPr>
          <w:rFonts w:ascii="Arial" w:hAnsi="Arial" w:cs="Arial"/>
          <w:sz w:val="24"/>
          <w:szCs w:val="24"/>
          <w:lang w:val="fr-CA"/>
        </w:rPr>
        <w:t>g</w:t>
      </w:r>
      <w:r w:rsidRPr="00E2142F">
        <w:rPr>
          <w:rFonts w:ascii="Arial" w:hAnsi="Arial" w:cs="Arial"/>
          <w:sz w:val="24"/>
          <w:szCs w:val="24"/>
          <w:lang w:val="fr-CA"/>
        </w:rPr>
        <w:t>roupe des cadres supérieurs doit être la mieux adaptée pour soutenir la prestation de programmes et de services aux Canadiens.</w:t>
      </w:r>
    </w:p>
    <w:p w14:paraId="673CD98A" w14:textId="374C0C66" w:rsidR="004B7969" w:rsidRPr="001C7F0A" w:rsidRDefault="004B7969" w:rsidP="00E2142F">
      <w:pPr>
        <w:pStyle w:val="NoSpacing"/>
        <w:rPr>
          <w:rFonts w:ascii="Arial" w:hAnsi="Arial" w:cs="Arial"/>
          <w:sz w:val="24"/>
          <w:szCs w:val="24"/>
          <w:lang w:val="fr-CA"/>
        </w:rPr>
      </w:pPr>
    </w:p>
    <w:p w14:paraId="24726C1C" w14:textId="77777777" w:rsidR="004B7969" w:rsidRPr="001C7F0A" w:rsidRDefault="004B7969" w:rsidP="004B7969">
      <w:pPr>
        <w:pStyle w:val="NoSpacing"/>
        <w:rPr>
          <w:rFonts w:ascii="Arial" w:hAnsi="Arial" w:cs="Arial"/>
          <w:sz w:val="24"/>
          <w:szCs w:val="24"/>
          <w:lang w:val="fr-CA"/>
        </w:rPr>
      </w:pPr>
    </w:p>
    <w:p w14:paraId="13A45586" w14:textId="1FCF6AE7" w:rsidR="004B7969" w:rsidRPr="00E2142F" w:rsidRDefault="004B7969" w:rsidP="00F41F01">
      <w:pPr>
        <w:pStyle w:val="Heading2"/>
      </w:pPr>
      <w:bookmarkStart w:id="9" w:name="_Toc127212924"/>
      <w:r w:rsidRPr="00E2142F">
        <w:t>M</w:t>
      </w:r>
      <w:r w:rsidR="00E2142F" w:rsidRPr="00E2142F">
        <w:t>éthodologie</w:t>
      </w:r>
      <w:bookmarkEnd w:id="9"/>
    </w:p>
    <w:p w14:paraId="2271AEA1" w14:textId="77777777" w:rsidR="004B7969" w:rsidRPr="00E2142F" w:rsidRDefault="004B7969" w:rsidP="004B7969">
      <w:pPr>
        <w:pStyle w:val="NoSpacing"/>
        <w:rPr>
          <w:rFonts w:ascii="Arial" w:hAnsi="Arial" w:cs="Arial"/>
          <w:sz w:val="24"/>
          <w:szCs w:val="24"/>
          <w:lang w:val="fr-CA"/>
        </w:rPr>
      </w:pPr>
    </w:p>
    <w:p w14:paraId="4DE6C332" w14:textId="0BCBBE7B" w:rsidR="00E2142F" w:rsidRDefault="00E2142F" w:rsidP="004B7969">
      <w:pPr>
        <w:pStyle w:val="NoSpacing"/>
        <w:rPr>
          <w:rFonts w:ascii="Arial" w:hAnsi="Arial" w:cs="Arial"/>
          <w:sz w:val="24"/>
          <w:szCs w:val="24"/>
          <w:lang w:val="fr-CA"/>
        </w:rPr>
      </w:pPr>
      <w:r w:rsidRPr="00E2142F">
        <w:rPr>
          <w:rFonts w:ascii="Arial" w:hAnsi="Arial" w:cs="Arial"/>
          <w:sz w:val="24"/>
          <w:szCs w:val="24"/>
          <w:lang w:val="fr-CA"/>
        </w:rPr>
        <w:t>Afin de s'assurer que les recommandations et les décisions relatives à la rémunération globale des cadres supérieurs so</w:t>
      </w:r>
      <w:r w:rsidR="004D5525">
        <w:rPr>
          <w:rFonts w:ascii="Arial" w:hAnsi="Arial" w:cs="Arial"/>
          <w:sz w:val="24"/>
          <w:szCs w:val="24"/>
          <w:lang w:val="fr-CA"/>
        </w:rPr>
        <w:t>ie</w:t>
      </w:r>
      <w:r w:rsidRPr="00E2142F">
        <w:rPr>
          <w:rFonts w:ascii="Arial" w:hAnsi="Arial" w:cs="Arial"/>
          <w:sz w:val="24"/>
          <w:szCs w:val="24"/>
          <w:lang w:val="fr-CA"/>
        </w:rPr>
        <w:t>nt justes, objectives, transparentes</w:t>
      </w:r>
      <w:r>
        <w:rPr>
          <w:rFonts w:ascii="Arial" w:hAnsi="Arial" w:cs="Arial"/>
          <w:sz w:val="24"/>
          <w:szCs w:val="24"/>
          <w:lang w:val="fr-CA"/>
        </w:rPr>
        <w:t xml:space="preserve">, </w:t>
      </w:r>
      <w:r w:rsidR="0007705F">
        <w:rPr>
          <w:rFonts w:ascii="Arial" w:hAnsi="Arial" w:cs="Arial"/>
          <w:sz w:val="24"/>
          <w:szCs w:val="24"/>
          <w:lang w:val="fr-CA"/>
        </w:rPr>
        <w:t>présentées</w:t>
      </w:r>
      <w:r>
        <w:rPr>
          <w:rFonts w:ascii="Arial" w:hAnsi="Arial" w:cs="Arial"/>
          <w:sz w:val="24"/>
          <w:szCs w:val="24"/>
          <w:lang w:val="fr-CA"/>
        </w:rPr>
        <w:t xml:space="preserve"> en temps opportun</w:t>
      </w:r>
      <w:r w:rsidRPr="00E2142F">
        <w:rPr>
          <w:rFonts w:ascii="Arial" w:hAnsi="Arial" w:cs="Arial"/>
          <w:sz w:val="24"/>
          <w:szCs w:val="24"/>
          <w:lang w:val="fr-CA"/>
        </w:rPr>
        <w:t xml:space="preserve"> et efficaces pour attirer et retenir les meilleurs talents, les éléments méthodologiques suivants seront appliqués :</w:t>
      </w:r>
    </w:p>
    <w:p w14:paraId="7B790D1A" w14:textId="77777777" w:rsidR="00E2142F" w:rsidRDefault="00E2142F" w:rsidP="004B7969">
      <w:pPr>
        <w:pStyle w:val="NoSpacing"/>
        <w:rPr>
          <w:rFonts w:ascii="Arial" w:hAnsi="Arial" w:cs="Arial"/>
          <w:sz w:val="24"/>
          <w:szCs w:val="24"/>
          <w:lang w:val="fr-CA"/>
        </w:rPr>
      </w:pPr>
    </w:p>
    <w:p w14:paraId="62C3E556" w14:textId="4369FBB2" w:rsidR="0007705F" w:rsidRPr="0007705F" w:rsidRDefault="0007705F" w:rsidP="004B7969">
      <w:pPr>
        <w:pStyle w:val="NoSpacing"/>
        <w:numPr>
          <w:ilvl w:val="0"/>
          <w:numId w:val="24"/>
        </w:numPr>
        <w:rPr>
          <w:rFonts w:ascii="Arial" w:hAnsi="Arial" w:cs="Arial"/>
          <w:sz w:val="24"/>
          <w:szCs w:val="24"/>
          <w:lang w:val="fr-CA"/>
        </w:rPr>
      </w:pPr>
      <w:r w:rsidRPr="0007705F">
        <w:rPr>
          <w:rFonts w:ascii="Arial" w:hAnsi="Arial" w:cs="Arial"/>
          <w:sz w:val="24"/>
          <w:szCs w:val="24"/>
          <w:lang w:val="fr-CA"/>
        </w:rPr>
        <w:t xml:space="preserve">Le </w:t>
      </w:r>
      <w:r w:rsidR="00F37E5E">
        <w:rPr>
          <w:rFonts w:ascii="Arial" w:hAnsi="Arial" w:cs="Arial"/>
          <w:sz w:val="24"/>
          <w:szCs w:val="24"/>
          <w:lang w:val="fr-CA"/>
        </w:rPr>
        <w:t>C</w:t>
      </w:r>
      <w:r w:rsidRPr="0007705F">
        <w:rPr>
          <w:rFonts w:ascii="Arial" w:hAnsi="Arial" w:cs="Arial"/>
          <w:sz w:val="24"/>
          <w:szCs w:val="24"/>
          <w:lang w:val="fr-CA"/>
        </w:rPr>
        <w:t>omité examinera la méthode actuelle de rémunération globale du SCT applicable aux cadres supérieurs et recommandera les changements appropriés à l'appui des principes directeurs et de la méthode fournis dans le présent document</w:t>
      </w:r>
      <w:r>
        <w:rPr>
          <w:rFonts w:ascii="Arial" w:hAnsi="Arial" w:cs="Arial"/>
          <w:sz w:val="24"/>
          <w:szCs w:val="24"/>
          <w:lang w:val="fr-CA"/>
        </w:rPr>
        <w:t>.</w:t>
      </w:r>
    </w:p>
    <w:p w14:paraId="2929F5CF" w14:textId="25C102D9" w:rsidR="0007705F" w:rsidRDefault="00F37E5E" w:rsidP="004B7969">
      <w:pPr>
        <w:pStyle w:val="NoSpacing"/>
        <w:numPr>
          <w:ilvl w:val="0"/>
          <w:numId w:val="24"/>
        </w:numPr>
        <w:rPr>
          <w:rFonts w:ascii="Arial" w:hAnsi="Arial" w:cs="Arial"/>
          <w:sz w:val="24"/>
          <w:szCs w:val="24"/>
          <w:lang w:val="fr-CA"/>
        </w:rPr>
      </w:pPr>
      <w:r w:rsidRPr="00F37E5E">
        <w:rPr>
          <w:rFonts w:ascii="Arial" w:hAnsi="Arial" w:cs="Arial"/>
          <w:sz w:val="24"/>
          <w:szCs w:val="24"/>
          <w:lang w:val="fr-CA"/>
        </w:rPr>
        <w:t xml:space="preserve">Le </w:t>
      </w:r>
      <w:r w:rsidR="00D90B42">
        <w:rPr>
          <w:rFonts w:ascii="Arial" w:hAnsi="Arial" w:cs="Arial"/>
          <w:sz w:val="24"/>
          <w:szCs w:val="24"/>
          <w:lang w:val="fr-CA"/>
        </w:rPr>
        <w:t>C</w:t>
      </w:r>
      <w:r w:rsidRPr="00F37E5E">
        <w:rPr>
          <w:rFonts w:ascii="Arial" w:hAnsi="Arial" w:cs="Arial"/>
          <w:sz w:val="24"/>
          <w:szCs w:val="24"/>
          <w:lang w:val="fr-CA"/>
        </w:rPr>
        <w:t xml:space="preserve">omité fournira des recommandations annuelles sur la rémunération globale </w:t>
      </w:r>
      <w:r w:rsidR="007A6AF7">
        <w:rPr>
          <w:rFonts w:ascii="Arial" w:hAnsi="Arial" w:cs="Arial"/>
          <w:sz w:val="24"/>
          <w:szCs w:val="24"/>
          <w:lang w:val="fr-CA"/>
        </w:rPr>
        <w:t>à la</w:t>
      </w:r>
      <w:r w:rsidRPr="00F37E5E">
        <w:rPr>
          <w:rFonts w:ascii="Arial" w:hAnsi="Arial" w:cs="Arial"/>
          <w:sz w:val="24"/>
          <w:szCs w:val="24"/>
          <w:lang w:val="fr-CA"/>
        </w:rPr>
        <w:t xml:space="preserve"> président</w:t>
      </w:r>
      <w:r w:rsidR="007A6AF7">
        <w:rPr>
          <w:rFonts w:ascii="Arial" w:hAnsi="Arial" w:cs="Arial"/>
          <w:sz w:val="24"/>
          <w:szCs w:val="24"/>
          <w:lang w:val="fr-CA"/>
        </w:rPr>
        <w:t>e</w:t>
      </w:r>
      <w:r w:rsidRPr="00F37E5E">
        <w:rPr>
          <w:rFonts w:ascii="Arial" w:hAnsi="Arial" w:cs="Arial"/>
          <w:sz w:val="24"/>
          <w:szCs w:val="24"/>
          <w:lang w:val="fr-CA"/>
        </w:rPr>
        <w:t xml:space="preserve"> du Conseil du Trésor du Canada</w:t>
      </w:r>
      <w:r>
        <w:rPr>
          <w:rFonts w:ascii="Arial" w:hAnsi="Arial" w:cs="Arial"/>
          <w:sz w:val="24"/>
          <w:szCs w:val="24"/>
          <w:lang w:val="fr-CA"/>
        </w:rPr>
        <w:t>.</w:t>
      </w:r>
    </w:p>
    <w:p w14:paraId="784873D7" w14:textId="54E73DA9" w:rsidR="00F37E5E" w:rsidRDefault="00F37E5E" w:rsidP="004B7969">
      <w:pPr>
        <w:pStyle w:val="NoSpacing"/>
        <w:numPr>
          <w:ilvl w:val="0"/>
          <w:numId w:val="24"/>
        </w:numPr>
        <w:rPr>
          <w:rFonts w:ascii="Arial" w:hAnsi="Arial" w:cs="Arial"/>
          <w:sz w:val="24"/>
          <w:szCs w:val="24"/>
          <w:lang w:val="fr-CA"/>
        </w:rPr>
      </w:pPr>
      <w:r w:rsidRPr="00F37E5E">
        <w:rPr>
          <w:rFonts w:ascii="Arial" w:hAnsi="Arial" w:cs="Arial"/>
          <w:sz w:val="24"/>
          <w:szCs w:val="24"/>
          <w:lang w:val="fr-CA"/>
        </w:rPr>
        <w:t xml:space="preserve">Le </w:t>
      </w:r>
      <w:r w:rsidR="00D90B42">
        <w:rPr>
          <w:rFonts w:ascii="Arial" w:hAnsi="Arial" w:cs="Arial"/>
          <w:sz w:val="24"/>
          <w:szCs w:val="24"/>
          <w:lang w:val="fr-CA"/>
        </w:rPr>
        <w:t>C</w:t>
      </w:r>
      <w:r w:rsidRPr="00F37E5E">
        <w:rPr>
          <w:rFonts w:ascii="Arial" w:hAnsi="Arial" w:cs="Arial"/>
          <w:sz w:val="24"/>
          <w:szCs w:val="24"/>
          <w:lang w:val="fr-CA"/>
        </w:rPr>
        <w:t xml:space="preserve">omité doit examiner périodiquement les conditions d'emploi, les politiques et les avantages sociaux du groupe des cadres supérieurs et recommander des modifications. La fréquence de ces examens sera déterminée par le </w:t>
      </w:r>
      <w:r>
        <w:rPr>
          <w:rFonts w:ascii="Arial" w:hAnsi="Arial" w:cs="Arial"/>
          <w:sz w:val="24"/>
          <w:szCs w:val="24"/>
          <w:lang w:val="fr-CA"/>
        </w:rPr>
        <w:t>C</w:t>
      </w:r>
      <w:r w:rsidRPr="00F37E5E">
        <w:rPr>
          <w:rFonts w:ascii="Arial" w:hAnsi="Arial" w:cs="Arial"/>
          <w:sz w:val="24"/>
          <w:szCs w:val="24"/>
          <w:lang w:val="fr-CA"/>
        </w:rPr>
        <w:t>omité afin de s'assurer que les recommandations so</w:t>
      </w:r>
      <w:r w:rsidR="00D90B42">
        <w:rPr>
          <w:rFonts w:ascii="Arial" w:hAnsi="Arial" w:cs="Arial"/>
          <w:sz w:val="24"/>
          <w:szCs w:val="24"/>
          <w:lang w:val="fr-CA"/>
        </w:rPr>
        <w:t>ie</w:t>
      </w:r>
      <w:r w:rsidRPr="00F37E5E">
        <w:rPr>
          <w:rFonts w:ascii="Arial" w:hAnsi="Arial" w:cs="Arial"/>
          <w:sz w:val="24"/>
          <w:szCs w:val="24"/>
          <w:lang w:val="fr-CA"/>
        </w:rPr>
        <w:t>nt justes, objectives, transparentes</w:t>
      </w:r>
      <w:r>
        <w:rPr>
          <w:rFonts w:ascii="Arial" w:hAnsi="Arial" w:cs="Arial"/>
          <w:sz w:val="24"/>
          <w:szCs w:val="24"/>
          <w:lang w:val="fr-CA"/>
        </w:rPr>
        <w:t>, présentées en temps opportun</w:t>
      </w:r>
      <w:r w:rsidRPr="00F37E5E">
        <w:rPr>
          <w:rFonts w:ascii="Arial" w:hAnsi="Arial" w:cs="Arial"/>
          <w:sz w:val="24"/>
          <w:szCs w:val="24"/>
          <w:lang w:val="fr-CA"/>
        </w:rPr>
        <w:t xml:space="preserve"> et efficaces pour attirer et retenir les meilleurs talents.</w:t>
      </w:r>
    </w:p>
    <w:p w14:paraId="6919F20E" w14:textId="2FB1913F" w:rsidR="00F37E5E" w:rsidRDefault="00F37E5E" w:rsidP="004B7969">
      <w:pPr>
        <w:pStyle w:val="NoSpacing"/>
        <w:numPr>
          <w:ilvl w:val="0"/>
          <w:numId w:val="24"/>
        </w:numPr>
        <w:rPr>
          <w:rFonts w:ascii="Arial" w:hAnsi="Arial" w:cs="Arial"/>
          <w:sz w:val="24"/>
          <w:szCs w:val="24"/>
          <w:lang w:val="fr-CA"/>
        </w:rPr>
      </w:pPr>
      <w:r w:rsidRPr="00F37E5E">
        <w:rPr>
          <w:rFonts w:ascii="Arial" w:hAnsi="Arial" w:cs="Arial"/>
          <w:sz w:val="24"/>
          <w:szCs w:val="24"/>
          <w:lang w:val="fr-CA"/>
        </w:rPr>
        <w:t xml:space="preserve">Une étude comparative des données du marché du travail comparant la rémunération globale pour le niveau EX-01 avec les principaux groupes de relève internes, ainsi qu'avec les comparateurs externes pertinents des secteurs privé et </w:t>
      </w:r>
      <w:r w:rsidRPr="00F37E5E">
        <w:rPr>
          <w:rFonts w:ascii="Arial" w:hAnsi="Arial" w:cs="Arial"/>
          <w:sz w:val="24"/>
          <w:szCs w:val="24"/>
          <w:lang w:val="fr-CA"/>
        </w:rPr>
        <w:lastRenderedPageBreak/>
        <w:t>public, doit être réalisée par une entreprise externe indépendante et fournie chaque année au Comité</w:t>
      </w:r>
      <w:r>
        <w:rPr>
          <w:rFonts w:ascii="Arial" w:hAnsi="Arial" w:cs="Arial"/>
          <w:sz w:val="24"/>
          <w:szCs w:val="24"/>
          <w:lang w:val="fr-CA"/>
        </w:rPr>
        <w:t>.</w:t>
      </w:r>
    </w:p>
    <w:p w14:paraId="4A1DEB96" w14:textId="6B501485" w:rsidR="00F37E5E" w:rsidRDefault="00F37E5E" w:rsidP="004B7969">
      <w:pPr>
        <w:pStyle w:val="NoSpacing"/>
        <w:numPr>
          <w:ilvl w:val="0"/>
          <w:numId w:val="24"/>
        </w:numPr>
        <w:rPr>
          <w:rFonts w:ascii="Arial" w:hAnsi="Arial" w:cs="Arial"/>
          <w:sz w:val="24"/>
          <w:szCs w:val="24"/>
          <w:lang w:val="fr-CA"/>
        </w:rPr>
      </w:pPr>
      <w:r w:rsidRPr="00F37E5E">
        <w:rPr>
          <w:rFonts w:ascii="Arial" w:hAnsi="Arial" w:cs="Arial"/>
          <w:sz w:val="24"/>
          <w:szCs w:val="24"/>
          <w:lang w:val="fr-CA"/>
        </w:rPr>
        <w:t xml:space="preserve">L'étude des données sur le marché du travail et les recommandations du </w:t>
      </w:r>
      <w:r>
        <w:rPr>
          <w:rFonts w:ascii="Arial" w:hAnsi="Arial" w:cs="Arial"/>
          <w:sz w:val="24"/>
          <w:szCs w:val="24"/>
          <w:lang w:val="fr-CA"/>
        </w:rPr>
        <w:t>C</w:t>
      </w:r>
      <w:r w:rsidRPr="00F37E5E">
        <w:rPr>
          <w:rFonts w:ascii="Arial" w:hAnsi="Arial" w:cs="Arial"/>
          <w:sz w:val="24"/>
          <w:szCs w:val="24"/>
          <w:lang w:val="fr-CA"/>
        </w:rPr>
        <w:t>omité visant à ajuster la rémunération globale des cadres doivent être fondées sur au moins le 50</w:t>
      </w:r>
      <w:r w:rsidRPr="00F37E5E">
        <w:rPr>
          <w:rFonts w:ascii="Arial" w:hAnsi="Arial" w:cs="Arial"/>
          <w:sz w:val="24"/>
          <w:szCs w:val="24"/>
          <w:vertAlign w:val="superscript"/>
          <w:lang w:val="fr-CA"/>
        </w:rPr>
        <w:t>e</w:t>
      </w:r>
      <w:r w:rsidRPr="00F37E5E">
        <w:rPr>
          <w:rFonts w:ascii="Arial" w:hAnsi="Arial" w:cs="Arial"/>
          <w:sz w:val="24"/>
          <w:szCs w:val="24"/>
          <w:lang w:val="fr-CA"/>
        </w:rPr>
        <w:t xml:space="preserve"> percentile des comparateurs externes publics et privés sélectionnés</w:t>
      </w:r>
      <w:r>
        <w:rPr>
          <w:rFonts w:ascii="Arial" w:hAnsi="Arial" w:cs="Arial"/>
          <w:sz w:val="24"/>
          <w:szCs w:val="24"/>
          <w:lang w:val="fr-CA"/>
        </w:rPr>
        <w:t>.</w:t>
      </w:r>
    </w:p>
    <w:p w14:paraId="7A301FC9" w14:textId="2E328565" w:rsidR="00F37E5E" w:rsidRDefault="00F37E5E" w:rsidP="004B7969">
      <w:pPr>
        <w:pStyle w:val="NoSpacing"/>
        <w:numPr>
          <w:ilvl w:val="0"/>
          <w:numId w:val="24"/>
        </w:numPr>
        <w:rPr>
          <w:rFonts w:ascii="Arial" w:hAnsi="Arial" w:cs="Arial"/>
          <w:sz w:val="24"/>
          <w:szCs w:val="24"/>
          <w:lang w:val="fr-CA"/>
        </w:rPr>
      </w:pPr>
      <w:r w:rsidRPr="00F37E5E">
        <w:rPr>
          <w:rFonts w:ascii="Arial" w:hAnsi="Arial" w:cs="Arial"/>
          <w:sz w:val="24"/>
          <w:szCs w:val="24"/>
          <w:lang w:val="fr-CA"/>
        </w:rPr>
        <w:t>Les résultats de l'étude comparative des données sur le marché du travail doivent être fournis au Comité suffisamment tôt pour qu'il ait le temps de formuler des recommandations et que les décisions du gouvernement soient annoncées chaque année, en avril</w:t>
      </w:r>
      <w:r>
        <w:rPr>
          <w:rFonts w:ascii="Arial" w:hAnsi="Arial" w:cs="Arial"/>
          <w:sz w:val="24"/>
          <w:szCs w:val="24"/>
          <w:lang w:val="fr-CA"/>
        </w:rPr>
        <w:t>.</w:t>
      </w:r>
    </w:p>
    <w:p w14:paraId="0B47A856" w14:textId="41AF32C3" w:rsidR="004B7969" w:rsidRDefault="00F37E5E" w:rsidP="004B7969">
      <w:pPr>
        <w:pStyle w:val="NoSpacing"/>
        <w:numPr>
          <w:ilvl w:val="0"/>
          <w:numId w:val="24"/>
        </w:numPr>
        <w:rPr>
          <w:rFonts w:ascii="Arial" w:hAnsi="Arial" w:cs="Arial"/>
          <w:sz w:val="24"/>
          <w:szCs w:val="24"/>
          <w:lang w:val="fr-CA"/>
        </w:rPr>
      </w:pPr>
      <w:r w:rsidRPr="00F37E5E">
        <w:rPr>
          <w:rFonts w:ascii="Arial" w:hAnsi="Arial" w:cs="Arial"/>
          <w:sz w:val="24"/>
          <w:szCs w:val="24"/>
          <w:lang w:val="fr-CA"/>
        </w:rPr>
        <w:t xml:space="preserve">Les résultats de l'étude comparative du marché du travail sur les données EX-01 doivent être appliqués chaque année à tous les niveaux de </w:t>
      </w:r>
      <w:r>
        <w:rPr>
          <w:rFonts w:ascii="Arial" w:hAnsi="Arial" w:cs="Arial"/>
          <w:sz w:val="24"/>
          <w:szCs w:val="24"/>
          <w:lang w:val="fr-CA"/>
        </w:rPr>
        <w:t>cadres supérieurs.</w:t>
      </w:r>
      <w:r w:rsidRPr="00F37E5E">
        <w:rPr>
          <w:rFonts w:ascii="Arial" w:hAnsi="Arial" w:cs="Arial"/>
          <w:sz w:val="24"/>
          <w:szCs w:val="24"/>
          <w:lang w:val="fr-CA"/>
        </w:rPr>
        <w:t xml:space="preserve"> </w:t>
      </w:r>
    </w:p>
    <w:p w14:paraId="793B37F5" w14:textId="7767B770" w:rsidR="00F37E5E" w:rsidRDefault="00F37E5E" w:rsidP="004B7969">
      <w:pPr>
        <w:pStyle w:val="NoSpacing"/>
        <w:numPr>
          <w:ilvl w:val="0"/>
          <w:numId w:val="24"/>
        </w:numPr>
        <w:rPr>
          <w:rFonts w:ascii="Arial" w:hAnsi="Arial" w:cs="Arial"/>
          <w:sz w:val="24"/>
          <w:szCs w:val="24"/>
          <w:lang w:val="fr-CA"/>
        </w:rPr>
      </w:pPr>
      <w:r w:rsidRPr="00F37E5E">
        <w:rPr>
          <w:rFonts w:ascii="Arial" w:hAnsi="Arial" w:cs="Arial"/>
          <w:sz w:val="24"/>
          <w:szCs w:val="24"/>
          <w:lang w:val="fr-CA"/>
        </w:rPr>
        <w:t>La rémunération globale doit comprendre la valeur totale du salaire, de la rémunération au rendement</w:t>
      </w:r>
      <w:r>
        <w:rPr>
          <w:rFonts w:ascii="Arial" w:hAnsi="Arial" w:cs="Arial"/>
          <w:sz w:val="24"/>
          <w:szCs w:val="24"/>
          <w:lang w:val="fr-CA"/>
        </w:rPr>
        <w:t xml:space="preserve"> et</w:t>
      </w:r>
      <w:r w:rsidRPr="00F37E5E">
        <w:rPr>
          <w:rFonts w:ascii="Arial" w:hAnsi="Arial" w:cs="Arial"/>
          <w:sz w:val="24"/>
          <w:szCs w:val="24"/>
          <w:lang w:val="fr-CA"/>
        </w:rPr>
        <w:t xml:space="preserve"> des avantages sociaux (p. ex., dispositions relatives aux congés, pension, assurance et autres droits)</w:t>
      </w:r>
      <w:r>
        <w:rPr>
          <w:rFonts w:ascii="Arial" w:hAnsi="Arial" w:cs="Arial"/>
          <w:sz w:val="24"/>
          <w:szCs w:val="24"/>
          <w:lang w:val="fr-CA"/>
        </w:rPr>
        <w:t>.</w:t>
      </w:r>
    </w:p>
    <w:p w14:paraId="60F53234" w14:textId="617F3645" w:rsidR="00F37E5E" w:rsidRDefault="00F37E5E" w:rsidP="004B7969">
      <w:pPr>
        <w:pStyle w:val="NoSpacing"/>
        <w:numPr>
          <w:ilvl w:val="0"/>
          <w:numId w:val="24"/>
        </w:numPr>
        <w:rPr>
          <w:rFonts w:ascii="Arial" w:hAnsi="Arial" w:cs="Arial"/>
          <w:sz w:val="24"/>
          <w:szCs w:val="24"/>
          <w:lang w:val="fr-CA"/>
        </w:rPr>
      </w:pPr>
      <w:r w:rsidRPr="00F37E5E">
        <w:rPr>
          <w:rFonts w:ascii="Arial" w:hAnsi="Arial" w:cs="Arial"/>
          <w:sz w:val="24"/>
          <w:szCs w:val="24"/>
          <w:lang w:val="fr-CA"/>
        </w:rPr>
        <w:t xml:space="preserve">Le </w:t>
      </w:r>
      <w:r>
        <w:rPr>
          <w:rFonts w:ascii="Arial" w:hAnsi="Arial" w:cs="Arial"/>
          <w:sz w:val="24"/>
          <w:szCs w:val="24"/>
          <w:lang w:val="fr-CA"/>
        </w:rPr>
        <w:t>C</w:t>
      </w:r>
      <w:r w:rsidRPr="00F37E5E">
        <w:rPr>
          <w:rFonts w:ascii="Arial" w:hAnsi="Arial" w:cs="Arial"/>
          <w:sz w:val="24"/>
          <w:szCs w:val="24"/>
          <w:lang w:val="fr-CA"/>
        </w:rPr>
        <w:t xml:space="preserve">omité fournira des recommandations qui garantissent un écart de rémunération approprié et efficace entre le salaire maximal des EX-01 et le salaire maximal des groupes de relève clés, afin d'éviter la compression salariale qui a un impact négatif sur </w:t>
      </w:r>
      <w:r w:rsidR="000C3D5A">
        <w:rPr>
          <w:rFonts w:ascii="Arial" w:hAnsi="Arial" w:cs="Arial"/>
          <w:sz w:val="24"/>
          <w:szCs w:val="24"/>
          <w:lang w:val="fr-CA"/>
        </w:rPr>
        <w:t>l’intérêt pour les postes de cadres supérieurs</w:t>
      </w:r>
      <w:r w:rsidRPr="00F37E5E">
        <w:rPr>
          <w:rFonts w:ascii="Arial" w:hAnsi="Arial" w:cs="Arial"/>
          <w:sz w:val="24"/>
          <w:szCs w:val="24"/>
          <w:lang w:val="fr-CA"/>
        </w:rPr>
        <w:t xml:space="preserve"> et la rétention.</w:t>
      </w:r>
    </w:p>
    <w:p w14:paraId="03C27951" w14:textId="77777777" w:rsidR="009163A7" w:rsidRDefault="000C3D5A" w:rsidP="00D9734D">
      <w:pPr>
        <w:pStyle w:val="ListParagraph"/>
        <w:keepNext/>
        <w:keepLines/>
        <w:numPr>
          <w:ilvl w:val="0"/>
          <w:numId w:val="25"/>
        </w:numPr>
        <w:spacing w:after="160" w:line="259" w:lineRule="auto"/>
        <w:rPr>
          <w:rFonts w:ascii="Arial" w:hAnsi="Arial" w:cs="Arial"/>
          <w:sz w:val="24"/>
          <w:szCs w:val="24"/>
          <w:lang w:val="fr-CA"/>
        </w:rPr>
      </w:pPr>
      <w:r w:rsidRPr="009163A7">
        <w:rPr>
          <w:rFonts w:ascii="Arial" w:hAnsi="Arial" w:cs="Arial"/>
          <w:sz w:val="24"/>
          <w:szCs w:val="24"/>
          <w:lang w:val="fr-CA"/>
        </w:rPr>
        <w:t>Pour plus de clarté, le comité ne doit pas avoir l'autorité de fournir une recommandation sur la rémunération des cadres supérieurs qui mènerait à un taux de rémunération maximal au niveau EX-01 qui est moins de 10 % supérieur à la moyenne des cinq principaux groupes de relève ayant les taux de rémunération maximaux les plus élevés.</w:t>
      </w:r>
    </w:p>
    <w:p w14:paraId="1D620A55" w14:textId="73AB4FCF" w:rsidR="000C3D5A" w:rsidRDefault="009163A7" w:rsidP="009163A7">
      <w:pPr>
        <w:pStyle w:val="ListParagraph"/>
        <w:keepNext/>
        <w:keepLines/>
        <w:numPr>
          <w:ilvl w:val="0"/>
          <w:numId w:val="25"/>
        </w:numPr>
        <w:spacing w:after="160" w:line="259" w:lineRule="auto"/>
        <w:rPr>
          <w:rFonts w:ascii="Arial" w:hAnsi="Arial" w:cs="Arial"/>
          <w:sz w:val="24"/>
          <w:szCs w:val="24"/>
          <w:lang w:val="fr-CA"/>
        </w:rPr>
      </w:pPr>
      <w:r w:rsidRPr="009163A7">
        <w:rPr>
          <w:rFonts w:ascii="Arial" w:hAnsi="Arial" w:cs="Arial"/>
          <w:sz w:val="24"/>
          <w:szCs w:val="24"/>
          <w:lang w:val="fr-CA"/>
        </w:rPr>
        <w:t>Le Comité doit offrir annuellement à l'APEX l’occasion de lui fournir avis, conseils et toutes informations pertinentes, au nom du groupe des cadres supérieurs, avant de présenter des recommandations sur la rémunération globale à la présidente du Conseil du Trésor.</w:t>
      </w:r>
    </w:p>
    <w:p w14:paraId="2E85A654" w14:textId="5CFC3C79" w:rsidR="000C3D5A" w:rsidRPr="00F37E5E" w:rsidRDefault="000C3D5A" w:rsidP="004B7969">
      <w:pPr>
        <w:pStyle w:val="ListParagraph"/>
        <w:numPr>
          <w:ilvl w:val="0"/>
          <w:numId w:val="25"/>
        </w:numPr>
        <w:spacing w:after="160" w:line="259" w:lineRule="auto"/>
        <w:rPr>
          <w:rFonts w:ascii="Arial" w:hAnsi="Arial" w:cs="Arial"/>
          <w:sz w:val="24"/>
          <w:szCs w:val="24"/>
          <w:lang w:val="fr-CA"/>
        </w:rPr>
      </w:pPr>
      <w:r w:rsidRPr="000C3D5A">
        <w:rPr>
          <w:rFonts w:ascii="Arial" w:hAnsi="Arial" w:cs="Arial"/>
          <w:sz w:val="24"/>
          <w:szCs w:val="24"/>
          <w:lang w:val="fr-CA"/>
        </w:rPr>
        <w:t xml:space="preserve">La mise en œuvre des recommandations du Comité sur la rémunération des cadres </w:t>
      </w:r>
      <w:r>
        <w:rPr>
          <w:rFonts w:ascii="Arial" w:hAnsi="Arial" w:cs="Arial"/>
          <w:sz w:val="24"/>
          <w:szCs w:val="24"/>
          <w:lang w:val="fr-CA"/>
        </w:rPr>
        <w:t xml:space="preserve">supérieurs </w:t>
      </w:r>
      <w:r w:rsidRPr="000C3D5A">
        <w:rPr>
          <w:rFonts w:ascii="Arial" w:hAnsi="Arial" w:cs="Arial"/>
          <w:sz w:val="24"/>
          <w:szCs w:val="24"/>
          <w:lang w:val="fr-CA"/>
        </w:rPr>
        <w:t>doit comprendre une mise en œuvre salariale d'au plus 12 mois après la décision du gouvernement en avril de chaque année.</w:t>
      </w:r>
    </w:p>
    <w:p w14:paraId="19BC6E2F" w14:textId="0F548AD7" w:rsidR="000453B5" w:rsidRPr="00B2226A" w:rsidRDefault="00F37E5E" w:rsidP="000C3D5A">
      <w:pPr>
        <w:spacing w:after="160" w:line="259" w:lineRule="auto"/>
        <w:rPr>
          <w:rFonts w:ascii="Arial" w:hAnsi="Arial" w:cs="Arial"/>
          <w:sz w:val="24"/>
        </w:rPr>
      </w:pPr>
      <w:r w:rsidRPr="000C3D5A">
        <w:rPr>
          <w:rFonts w:ascii="Arial" w:hAnsi="Arial" w:cs="Arial"/>
          <w:sz w:val="24"/>
        </w:rPr>
        <w:t xml:space="preserve"> </w:t>
      </w:r>
    </w:p>
    <w:p w14:paraId="46F49100" w14:textId="77777777" w:rsidR="000453B5" w:rsidRPr="001C7F0A" w:rsidRDefault="000453B5" w:rsidP="004B7969">
      <w:pPr>
        <w:pStyle w:val="ListParagraph"/>
        <w:ind w:left="360"/>
        <w:rPr>
          <w:rFonts w:ascii="Arial" w:hAnsi="Arial" w:cs="Arial"/>
          <w:sz w:val="24"/>
          <w:szCs w:val="24"/>
          <w:lang w:val="fr-CA"/>
        </w:rPr>
      </w:pPr>
    </w:p>
    <w:p w14:paraId="210B62DC" w14:textId="4E0310B1" w:rsidR="004B7969" w:rsidRPr="000C3D5A" w:rsidRDefault="000C3D5A" w:rsidP="00F41F01">
      <w:pPr>
        <w:pStyle w:val="Heading2"/>
      </w:pPr>
      <w:bookmarkStart w:id="10" w:name="_Toc127212925"/>
      <w:r w:rsidRPr="00581178">
        <w:lastRenderedPageBreak/>
        <w:t>Résultat escompté</w:t>
      </w:r>
      <w:bookmarkEnd w:id="10"/>
    </w:p>
    <w:p w14:paraId="4CDC4758" w14:textId="77777777" w:rsidR="004B7969" w:rsidRPr="00473AD2" w:rsidRDefault="004B7969" w:rsidP="000453B5">
      <w:pPr>
        <w:pStyle w:val="NoSpacing"/>
        <w:keepNext/>
        <w:keepLines/>
        <w:rPr>
          <w:rFonts w:ascii="Arial" w:hAnsi="Arial" w:cs="Arial"/>
          <w:sz w:val="24"/>
          <w:szCs w:val="24"/>
          <w:lang w:val="fr-CA"/>
        </w:rPr>
      </w:pPr>
    </w:p>
    <w:p w14:paraId="4449B909" w14:textId="7CC096C4" w:rsidR="00473AD2" w:rsidRPr="00473AD2" w:rsidRDefault="00473AD2" w:rsidP="000453B5">
      <w:pPr>
        <w:pStyle w:val="NoSpacing"/>
        <w:keepNext/>
        <w:keepLines/>
        <w:rPr>
          <w:rFonts w:ascii="Arial" w:hAnsi="Arial" w:cs="Arial"/>
          <w:sz w:val="24"/>
          <w:szCs w:val="24"/>
          <w:lang w:val="fr-CA"/>
        </w:rPr>
      </w:pPr>
      <w:r w:rsidRPr="00473AD2">
        <w:rPr>
          <w:rFonts w:ascii="Arial" w:hAnsi="Arial" w:cs="Arial"/>
          <w:sz w:val="24"/>
          <w:szCs w:val="24"/>
          <w:lang w:val="fr-CA"/>
        </w:rPr>
        <w:t xml:space="preserve">La conception et la mise en œuvre d'un </w:t>
      </w:r>
      <w:r w:rsidR="00D90B42">
        <w:rPr>
          <w:rFonts w:ascii="Arial" w:hAnsi="Arial" w:cs="Arial"/>
          <w:sz w:val="24"/>
          <w:szCs w:val="24"/>
          <w:lang w:val="fr-CA"/>
        </w:rPr>
        <w:t>régime</w:t>
      </w:r>
      <w:r w:rsidRPr="00473AD2">
        <w:rPr>
          <w:rFonts w:ascii="Arial" w:hAnsi="Arial" w:cs="Arial"/>
          <w:sz w:val="24"/>
          <w:szCs w:val="24"/>
          <w:lang w:val="fr-CA"/>
        </w:rPr>
        <w:t xml:space="preserve"> de rémunération globale </w:t>
      </w:r>
      <w:r>
        <w:rPr>
          <w:rFonts w:ascii="Arial" w:hAnsi="Arial" w:cs="Arial"/>
          <w:sz w:val="24"/>
          <w:szCs w:val="24"/>
          <w:lang w:val="fr-CA"/>
        </w:rPr>
        <w:t>qui est concurrentiel</w:t>
      </w:r>
      <w:r w:rsidRPr="00473AD2">
        <w:rPr>
          <w:rFonts w:ascii="Arial" w:hAnsi="Arial" w:cs="Arial"/>
          <w:sz w:val="24"/>
          <w:szCs w:val="24"/>
          <w:lang w:val="fr-CA"/>
        </w:rPr>
        <w:t xml:space="preserve"> par rapport aux comparateurs, qui suscite l'intérêt</w:t>
      </w:r>
      <w:r>
        <w:rPr>
          <w:rFonts w:ascii="Arial" w:hAnsi="Arial" w:cs="Arial"/>
          <w:sz w:val="24"/>
          <w:szCs w:val="24"/>
          <w:lang w:val="fr-CA"/>
        </w:rPr>
        <w:t xml:space="preserve">, qui est attrayant pour les </w:t>
      </w:r>
      <w:r w:rsidR="000E6D01">
        <w:rPr>
          <w:rFonts w:ascii="Arial" w:hAnsi="Arial" w:cs="Arial"/>
          <w:sz w:val="24"/>
          <w:szCs w:val="24"/>
          <w:lang w:val="fr-CA"/>
        </w:rPr>
        <w:t xml:space="preserve">meilleurs </w:t>
      </w:r>
      <w:r w:rsidRPr="00473AD2">
        <w:rPr>
          <w:rFonts w:ascii="Arial" w:hAnsi="Arial" w:cs="Arial"/>
          <w:sz w:val="24"/>
          <w:szCs w:val="24"/>
          <w:lang w:val="fr-CA"/>
        </w:rPr>
        <w:t>talents des groupes de relève</w:t>
      </w:r>
      <w:r>
        <w:rPr>
          <w:rFonts w:ascii="Arial" w:hAnsi="Arial" w:cs="Arial"/>
          <w:sz w:val="24"/>
          <w:szCs w:val="24"/>
          <w:lang w:val="fr-CA"/>
        </w:rPr>
        <w:t>,</w:t>
      </w:r>
      <w:r w:rsidRPr="00473AD2">
        <w:rPr>
          <w:rFonts w:ascii="Arial" w:hAnsi="Arial" w:cs="Arial"/>
          <w:sz w:val="24"/>
          <w:szCs w:val="24"/>
          <w:lang w:val="fr-CA"/>
        </w:rPr>
        <w:t xml:space="preserve"> et </w:t>
      </w:r>
      <w:r w:rsidR="000E6D01">
        <w:rPr>
          <w:rFonts w:ascii="Arial" w:hAnsi="Arial" w:cs="Arial"/>
          <w:sz w:val="24"/>
          <w:szCs w:val="24"/>
          <w:lang w:val="fr-CA"/>
        </w:rPr>
        <w:t>qui favorise</w:t>
      </w:r>
      <w:r w:rsidRPr="00473AD2">
        <w:rPr>
          <w:rFonts w:ascii="Arial" w:hAnsi="Arial" w:cs="Arial"/>
          <w:sz w:val="24"/>
          <w:szCs w:val="24"/>
          <w:lang w:val="fr-CA"/>
        </w:rPr>
        <w:t xml:space="preserve"> le maintien </w:t>
      </w:r>
      <w:r>
        <w:rPr>
          <w:rFonts w:ascii="Arial" w:hAnsi="Arial" w:cs="Arial"/>
          <w:sz w:val="24"/>
          <w:szCs w:val="24"/>
          <w:lang w:val="fr-CA"/>
        </w:rPr>
        <w:t xml:space="preserve">en poste des </w:t>
      </w:r>
      <w:r w:rsidRPr="00473AD2">
        <w:rPr>
          <w:rFonts w:ascii="Arial" w:hAnsi="Arial" w:cs="Arial"/>
          <w:sz w:val="24"/>
          <w:szCs w:val="24"/>
          <w:lang w:val="fr-CA"/>
        </w:rPr>
        <w:t>cadre</w:t>
      </w:r>
      <w:r>
        <w:rPr>
          <w:rFonts w:ascii="Arial" w:hAnsi="Arial" w:cs="Arial"/>
          <w:sz w:val="24"/>
          <w:szCs w:val="24"/>
          <w:lang w:val="fr-CA"/>
        </w:rPr>
        <w:t>s</w:t>
      </w:r>
      <w:r w:rsidRPr="00473AD2">
        <w:rPr>
          <w:rFonts w:ascii="Arial" w:hAnsi="Arial" w:cs="Arial"/>
          <w:sz w:val="24"/>
          <w:szCs w:val="24"/>
          <w:lang w:val="fr-CA"/>
        </w:rPr>
        <w:t xml:space="preserve"> </w:t>
      </w:r>
      <w:r w:rsidR="000E6D01">
        <w:rPr>
          <w:rFonts w:ascii="Arial" w:hAnsi="Arial" w:cs="Arial"/>
          <w:sz w:val="24"/>
          <w:szCs w:val="24"/>
          <w:lang w:val="fr-CA"/>
        </w:rPr>
        <w:t>supérieurs</w:t>
      </w:r>
      <w:r w:rsidRPr="00473AD2">
        <w:rPr>
          <w:rFonts w:ascii="Arial" w:hAnsi="Arial" w:cs="Arial"/>
          <w:sz w:val="24"/>
          <w:szCs w:val="24"/>
          <w:lang w:val="fr-CA"/>
        </w:rPr>
        <w:t xml:space="preserve">. Ce </w:t>
      </w:r>
      <w:r w:rsidR="00D90B42">
        <w:rPr>
          <w:rFonts w:ascii="Arial" w:hAnsi="Arial" w:cs="Arial"/>
          <w:sz w:val="24"/>
          <w:szCs w:val="24"/>
          <w:lang w:val="fr-CA"/>
        </w:rPr>
        <w:t xml:space="preserve">régime </w:t>
      </w:r>
      <w:r w:rsidRPr="00473AD2">
        <w:rPr>
          <w:rFonts w:ascii="Arial" w:hAnsi="Arial" w:cs="Arial"/>
          <w:sz w:val="24"/>
          <w:szCs w:val="24"/>
          <w:lang w:val="fr-CA"/>
        </w:rPr>
        <w:t>est efficace pour reconnaître l'effort, la responsabilité accrue, la valeur et l'impact du rôle des cadres</w:t>
      </w:r>
      <w:r w:rsidR="000E6D01">
        <w:rPr>
          <w:rFonts w:ascii="Arial" w:hAnsi="Arial" w:cs="Arial"/>
          <w:sz w:val="24"/>
          <w:szCs w:val="24"/>
          <w:lang w:val="fr-CA"/>
        </w:rPr>
        <w:t xml:space="preserve"> supérieurs</w:t>
      </w:r>
      <w:r w:rsidRPr="00473AD2">
        <w:rPr>
          <w:rFonts w:ascii="Arial" w:hAnsi="Arial" w:cs="Arial"/>
          <w:sz w:val="24"/>
          <w:szCs w:val="24"/>
          <w:lang w:val="fr-CA"/>
        </w:rPr>
        <w:t xml:space="preserve">. Il établit une distinction claire entre le groupe des cadres et </w:t>
      </w:r>
      <w:r w:rsidR="000E6D01">
        <w:rPr>
          <w:rFonts w:ascii="Arial" w:hAnsi="Arial" w:cs="Arial"/>
          <w:sz w:val="24"/>
          <w:szCs w:val="24"/>
          <w:lang w:val="fr-CA"/>
        </w:rPr>
        <w:t>ceux des autres employés</w:t>
      </w:r>
      <w:r w:rsidRPr="00473AD2">
        <w:rPr>
          <w:rFonts w:ascii="Arial" w:hAnsi="Arial" w:cs="Arial"/>
          <w:sz w:val="24"/>
          <w:szCs w:val="24"/>
          <w:lang w:val="fr-CA"/>
        </w:rPr>
        <w:t xml:space="preserve">. En outre, ce </w:t>
      </w:r>
      <w:r w:rsidR="00D90B42">
        <w:rPr>
          <w:rFonts w:ascii="Arial" w:hAnsi="Arial" w:cs="Arial"/>
          <w:sz w:val="24"/>
          <w:szCs w:val="24"/>
          <w:lang w:val="fr-CA"/>
        </w:rPr>
        <w:t>régime</w:t>
      </w:r>
      <w:r w:rsidRPr="00473AD2">
        <w:rPr>
          <w:rFonts w:ascii="Arial" w:hAnsi="Arial" w:cs="Arial"/>
          <w:sz w:val="24"/>
          <w:szCs w:val="24"/>
          <w:lang w:val="fr-CA"/>
        </w:rPr>
        <w:t xml:space="preserve"> de rémunération globale </w:t>
      </w:r>
      <w:r w:rsidR="000E6D01">
        <w:rPr>
          <w:rFonts w:ascii="Arial" w:hAnsi="Arial" w:cs="Arial"/>
          <w:sz w:val="24"/>
          <w:szCs w:val="24"/>
          <w:lang w:val="fr-CA"/>
        </w:rPr>
        <w:t>ne dépend pas</w:t>
      </w:r>
      <w:r w:rsidRPr="00473AD2">
        <w:rPr>
          <w:rFonts w:ascii="Arial" w:hAnsi="Arial" w:cs="Arial"/>
          <w:sz w:val="24"/>
          <w:szCs w:val="24"/>
          <w:lang w:val="fr-CA"/>
        </w:rPr>
        <w:t xml:space="preserve"> de la négociation collective et donne lieu à des ajustements annuels. Il contribue à l'établissement d'un équilibre sain entre l'effort et la récompense</w:t>
      </w:r>
      <w:r w:rsidR="000E6D01">
        <w:rPr>
          <w:rFonts w:ascii="Arial" w:hAnsi="Arial" w:cs="Arial"/>
          <w:sz w:val="24"/>
          <w:szCs w:val="24"/>
          <w:lang w:val="fr-CA"/>
        </w:rPr>
        <w:t>,</w:t>
      </w:r>
      <w:r w:rsidRPr="00473AD2">
        <w:rPr>
          <w:rFonts w:ascii="Arial" w:hAnsi="Arial" w:cs="Arial"/>
          <w:sz w:val="24"/>
          <w:szCs w:val="24"/>
          <w:lang w:val="fr-CA"/>
        </w:rPr>
        <w:t xml:space="preserve"> et permet aux cadres </w:t>
      </w:r>
      <w:r w:rsidR="000E6D01">
        <w:rPr>
          <w:rFonts w:ascii="Arial" w:hAnsi="Arial" w:cs="Arial"/>
          <w:sz w:val="24"/>
          <w:szCs w:val="24"/>
          <w:lang w:val="fr-CA"/>
        </w:rPr>
        <w:t>supérieurs</w:t>
      </w:r>
      <w:r w:rsidRPr="00473AD2">
        <w:rPr>
          <w:rFonts w:ascii="Arial" w:hAnsi="Arial" w:cs="Arial"/>
          <w:sz w:val="24"/>
          <w:szCs w:val="24"/>
          <w:lang w:val="fr-CA"/>
        </w:rPr>
        <w:t xml:space="preserve"> de maximiser leur soutien au gouvernement et </w:t>
      </w:r>
      <w:r w:rsidR="000E6D01">
        <w:rPr>
          <w:rFonts w:ascii="Arial" w:hAnsi="Arial" w:cs="Arial"/>
          <w:sz w:val="24"/>
          <w:szCs w:val="24"/>
          <w:lang w:val="fr-CA"/>
        </w:rPr>
        <w:t xml:space="preserve">à </w:t>
      </w:r>
      <w:r w:rsidRPr="00473AD2">
        <w:rPr>
          <w:rFonts w:ascii="Arial" w:hAnsi="Arial" w:cs="Arial"/>
          <w:sz w:val="24"/>
          <w:szCs w:val="24"/>
          <w:lang w:val="fr-CA"/>
        </w:rPr>
        <w:t>la prestation de programmes et de services de haute qualité aux Canadiens.</w:t>
      </w:r>
    </w:p>
    <w:p w14:paraId="1F25B61F" w14:textId="77777777" w:rsidR="00473AD2" w:rsidRPr="00473AD2" w:rsidRDefault="00473AD2" w:rsidP="000453B5">
      <w:pPr>
        <w:pStyle w:val="NoSpacing"/>
        <w:keepNext/>
        <w:keepLines/>
        <w:rPr>
          <w:rFonts w:ascii="Arial" w:hAnsi="Arial" w:cs="Arial"/>
          <w:sz w:val="24"/>
          <w:szCs w:val="24"/>
          <w:lang w:val="fr-CA"/>
        </w:rPr>
      </w:pPr>
    </w:p>
    <w:p w14:paraId="54F00F87" w14:textId="77777777" w:rsidR="000453B5" w:rsidRPr="001C7F0A" w:rsidRDefault="000453B5" w:rsidP="004B7969">
      <w:pPr>
        <w:pStyle w:val="NoSpacing"/>
        <w:rPr>
          <w:rFonts w:ascii="Arial" w:hAnsi="Arial" w:cs="Arial"/>
          <w:sz w:val="24"/>
          <w:szCs w:val="24"/>
          <w:lang w:val="fr-CA"/>
        </w:rPr>
      </w:pPr>
    </w:p>
    <w:p w14:paraId="3D846BDD" w14:textId="26E443DA" w:rsidR="004B7969" w:rsidRPr="00082415" w:rsidRDefault="00082415" w:rsidP="00F41F01">
      <w:pPr>
        <w:pStyle w:val="Heading2"/>
        <w:rPr>
          <w:color w:val="FF0000"/>
        </w:rPr>
      </w:pPr>
      <w:bookmarkStart w:id="11" w:name="_Toc127212926"/>
      <w:r w:rsidRPr="00082415">
        <w:t>Révision du mandat</w:t>
      </w:r>
      <w:bookmarkEnd w:id="11"/>
    </w:p>
    <w:p w14:paraId="1C2AE091" w14:textId="77777777" w:rsidR="004B7969" w:rsidRPr="00082415" w:rsidRDefault="004B7969" w:rsidP="004B7969">
      <w:pPr>
        <w:pStyle w:val="NoSpacing"/>
        <w:rPr>
          <w:rFonts w:ascii="Arial" w:hAnsi="Arial" w:cs="Arial"/>
          <w:sz w:val="24"/>
          <w:szCs w:val="24"/>
          <w:lang w:val="fr-CA"/>
        </w:rPr>
      </w:pPr>
    </w:p>
    <w:p w14:paraId="29FF5B60" w14:textId="1FC76C1D" w:rsidR="00082415" w:rsidRPr="00082415" w:rsidRDefault="00082415" w:rsidP="004B7969">
      <w:pPr>
        <w:pStyle w:val="NoSpacing"/>
        <w:rPr>
          <w:rFonts w:ascii="Arial" w:hAnsi="Arial" w:cs="Arial"/>
          <w:sz w:val="24"/>
          <w:szCs w:val="24"/>
          <w:lang w:val="fr-CA"/>
        </w:rPr>
      </w:pPr>
      <w:r w:rsidRPr="00082415">
        <w:rPr>
          <w:rFonts w:ascii="Arial" w:hAnsi="Arial" w:cs="Arial"/>
          <w:sz w:val="24"/>
          <w:szCs w:val="24"/>
          <w:lang w:val="fr-CA"/>
        </w:rPr>
        <w:t xml:space="preserve">Le mandat du Comité sera examiné et évalué après la première année de fonctionnement et un rapport sera remis </w:t>
      </w:r>
      <w:r w:rsidR="00E263D4">
        <w:rPr>
          <w:rFonts w:ascii="Arial" w:hAnsi="Arial" w:cs="Arial"/>
          <w:sz w:val="24"/>
          <w:szCs w:val="24"/>
          <w:lang w:val="fr-CA"/>
        </w:rPr>
        <w:t>à la</w:t>
      </w:r>
      <w:r w:rsidRPr="00082415">
        <w:rPr>
          <w:rFonts w:ascii="Arial" w:hAnsi="Arial" w:cs="Arial"/>
          <w:sz w:val="24"/>
          <w:szCs w:val="24"/>
          <w:lang w:val="fr-CA"/>
        </w:rPr>
        <w:t xml:space="preserve"> président</w:t>
      </w:r>
      <w:r w:rsidR="00E263D4">
        <w:rPr>
          <w:rFonts w:ascii="Arial" w:hAnsi="Arial" w:cs="Arial"/>
          <w:sz w:val="24"/>
          <w:szCs w:val="24"/>
          <w:lang w:val="fr-CA"/>
        </w:rPr>
        <w:t>e</w:t>
      </w:r>
      <w:r w:rsidRPr="00082415">
        <w:rPr>
          <w:rFonts w:ascii="Arial" w:hAnsi="Arial" w:cs="Arial"/>
          <w:sz w:val="24"/>
          <w:szCs w:val="24"/>
          <w:lang w:val="fr-CA"/>
        </w:rPr>
        <w:t xml:space="preserve"> du Conseil du Trésor avec des recommandations sur les modifications, le cas échéant. Par la suite, des examens et des évaluations seront effectués tous les cinq ans afin de s'assurer que le mandat est à jour et pertinent.</w:t>
      </w:r>
    </w:p>
    <w:p w14:paraId="603B8456" w14:textId="77777777" w:rsidR="00082415" w:rsidRPr="00082415" w:rsidRDefault="00082415" w:rsidP="004B7969">
      <w:pPr>
        <w:pStyle w:val="NoSpacing"/>
        <w:rPr>
          <w:rFonts w:ascii="Arial" w:hAnsi="Arial" w:cs="Arial"/>
          <w:sz w:val="24"/>
          <w:szCs w:val="24"/>
          <w:lang w:val="fr-CA"/>
        </w:rPr>
      </w:pPr>
    </w:p>
    <w:p w14:paraId="7BD23338" w14:textId="77777777" w:rsidR="004B7969" w:rsidRPr="001C7F0A" w:rsidRDefault="004B7969" w:rsidP="004B7969">
      <w:pPr>
        <w:pStyle w:val="NoSpacing"/>
        <w:rPr>
          <w:rFonts w:ascii="Arial" w:hAnsi="Arial" w:cs="Arial"/>
          <w:b/>
          <w:bCs/>
          <w:sz w:val="28"/>
          <w:szCs w:val="28"/>
          <w:lang w:val="fr-CA"/>
        </w:rPr>
      </w:pPr>
    </w:p>
    <w:p w14:paraId="4A03E8C6" w14:textId="77777777" w:rsidR="004B7969" w:rsidRPr="001C7F0A" w:rsidRDefault="004B7969" w:rsidP="004B7969">
      <w:pPr>
        <w:spacing w:after="160" w:line="259" w:lineRule="auto"/>
        <w:rPr>
          <w:rFonts w:ascii="Arial" w:hAnsi="Arial" w:cs="Arial"/>
          <w:b/>
          <w:bCs/>
          <w:sz w:val="28"/>
          <w:szCs w:val="28"/>
          <w:lang w:eastAsia="en-US"/>
        </w:rPr>
      </w:pPr>
      <w:r w:rsidRPr="001C7F0A">
        <w:rPr>
          <w:rFonts w:ascii="Arial" w:hAnsi="Arial" w:cs="Arial"/>
          <w:b/>
          <w:bCs/>
          <w:sz w:val="28"/>
          <w:szCs w:val="28"/>
        </w:rPr>
        <w:br w:type="page"/>
      </w:r>
    </w:p>
    <w:p w14:paraId="1305D078" w14:textId="5DADF874" w:rsidR="004B7969" w:rsidRPr="00082415" w:rsidRDefault="00082415" w:rsidP="00F41F01">
      <w:pPr>
        <w:pStyle w:val="Heading1"/>
        <w:jc w:val="center"/>
      </w:pPr>
      <w:bookmarkStart w:id="12" w:name="_Toc127212927"/>
      <w:r w:rsidRPr="00082415">
        <w:lastRenderedPageBreak/>
        <w:t>Glossaire</w:t>
      </w:r>
      <w:bookmarkEnd w:id="12"/>
    </w:p>
    <w:p w14:paraId="611B4B95" w14:textId="77777777" w:rsidR="004B7969" w:rsidRPr="00082415" w:rsidRDefault="004B7969" w:rsidP="004B7969">
      <w:pPr>
        <w:pStyle w:val="NoSpacing"/>
        <w:rPr>
          <w:rFonts w:ascii="Arial" w:hAnsi="Arial" w:cs="Arial"/>
          <w:sz w:val="24"/>
          <w:szCs w:val="24"/>
          <w:lang w:val="fr-CA"/>
        </w:rPr>
      </w:pPr>
    </w:p>
    <w:p w14:paraId="5D85CD77" w14:textId="77777777" w:rsidR="001F4327" w:rsidRPr="001C7F0A" w:rsidRDefault="001F4327" w:rsidP="001F4327">
      <w:pPr>
        <w:pStyle w:val="NoSpacing"/>
        <w:rPr>
          <w:rFonts w:ascii="Arial" w:hAnsi="Arial" w:cs="Arial"/>
          <w:sz w:val="24"/>
          <w:szCs w:val="24"/>
          <w:highlight w:val="yellow"/>
          <w:lang w:val="fr-CA"/>
        </w:rPr>
      </w:pPr>
    </w:p>
    <w:p w14:paraId="54E0F949" w14:textId="77777777" w:rsidR="008B2CA2" w:rsidRDefault="008B2CA2" w:rsidP="001F4327">
      <w:pPr>
        <w:pStyle w:val="NoSpacing"/>
        <w:rPr>
          <w:rFonts w:ascii="Arial" w:hAnsi="Arial" w:cs="Arial"/>
          <w:b/>
          <w:bCs/>
          <w:sz w:val="24"/>
          <w:szCs w:val="24"/>
          <w:lang w:val="fr-CA"/>
        </w:rPr>
      </w:pPr>
    </w:p>
    <w:p w14:paraId="6C6FA20A" w14:textId="6A6D0A9E" w:rsidR="008B2CA2" w:rsidRPr="008B2CA2" w:rsidRDefault="008B2CA2" w:rsidP="008B2CA2">
      <w:pPr>
        <w:pStyle w:val="NoSpacing"/>
        <w:rPr>
          <w:rFonts w:ascii="Arial" w:hAnsi="Arial" w:cs="Arial"/>
          <w:b/>
          <w:bCs/>
          <w:sz w:val="24"/>
          <w:szCs w:val="24"/>
          <w:lang w:val="fr-CA"/>
        </w:rPr>
      </w:pPr>
      <w:r w:rsidRPr="008B2CA2">
        <w:rPr>
          <w:rFonts w:ascii="Arial" w:hAnsi="Arial" w:cs="Arial"/>
          <w:b/>
          <w:bCs/>
          <w:sz w:val="24"/>
          <w:szCs w:val="24"/>
          <w:lang w:val="fr-CA"/>
        </w:rPr>
        <w:t>Autres avantages accordés aux c</w:t>
      </w:r>
      <w:r>
        <w:rPr>
          <w:rFonts w:ascii="Arial" w:hAnsi="Arial" w:cs="Arial"/>
          <w:b/>
          <w:bCs/>
          <w:sz w:val="24"/>
          <w:szCs w:val="24"/>
          <w:lang w:val="fr-CA"/>
        </w:rPr>
        <w:t xml:space="preserve">adres supérieurs  </w:t>
      </w:r>
    </w:p>
    <w:p w14:paraId="23C4F20E" w14:textId="5114C359" w:rsidR="008B2CA2" w:rsidRPr="008B2CA2" w:rsidRDefault="008B2CA2" w:rsidP="008B2CA2">
      <w:pPr>
        <w:pStyle w:val="NoSpacing"/>
        <w:rPr>
          <w:rFonts w:ascii="Arial" w:hAnsi="Arial" w:cs="Arial"/>
          <w:sz w:val="24"/>
          <w:szCs w:val="24"/>
          <w:lang w:val="fr-CA"/>
        </w:rPr>
      </w:pPr>
      <w:r>
        <w:rPr>
          <w:rFonts w:ascii="Arial" w:hAnsi="Arial" w:cs="Arial"/>
          <w:sz w:val="24"/>
          <w:szCs w:val="24"/>
          <w:lang w:val="fr-CA"/>
        </w:rPr>
        <w:t>Les é</w:t>
      </w:r>
      <w:r w:rsidRPr="008B2CA2">
        <w:rPr>
          <w:rFonts w:ascii="Arial" w:hAnsi="Arial" w:cs="Arial"/>
          <w:sz w:val="24"/>
          <w:szCs w:val="24"/>
          <w:lang w:val="fr-CA"/>
        </w:rPr>
        <w:t xml:space="preserve">léments supplémentaires d'un </w:t>
      </w:r>
      <w:r w:rsidR="00D90B42">
        <w:rPr>
          <w:rFonts w:ascii="Arial" w:hAnsi="Arial" w:cs="Arial"/>
          <w:sz w:val="24"/>
          <w:szCs w:val="24"/>
          <w:lang w:val="fr-CA"/>
        </w:rPr>
        <w:t>régime</w:t>
      </w:r>
      <w:r w:rsidRPr="008B2CA2">
        <w:rPr>
          <w:rFonts w:ascii="Arial" w:hAnsi="Arial" w:cs="Arial"/>
          <w:sz w:val="24"/>
          <w:szCs w:val="24"/>
          <w:lang w:val="fr-CA"/>
        </w:rPr>
        <w:t xml:space="preserve"> de rémunération fournis en fonction du statut ou du niveau de revenu, qui servent à </w:t>
      </w:r>
      <w:r>
        <w:rPr>
          <w:rFonts w:ascii="Arial" w:hAnsi="Arial" w:cs="Arial"/>
          <w:sz w:val="24"/>
          <w:szCs w:val="24"/>
          <w:lang w:val="fr-CA"/>
        </w:rPr>
        <w:t xml:space="preserve">différencier </w:t>
      </w:r>
      <w:r w:rsidRPr="008B2CA2">
        <w:rPr>
          <w:rFonts w:ascii="Arial" w:hAnsi="Arial" w:cs="Arial"/>
          <w:sz w:val="24"/>
          <w:szCs w:val="24"/>
          <w:lang w:val="fr-CA"/>
        </w:rPr>
        <w:t xml:space="preserve">les cadres </w:t>
      </w:r>
      <w:r>
        <w:rPr>
          <w:rFonts w:ascii="Arial" w:hAnsi="Arial" w:cs="Arial"/>
          <w:sz w:val="24"/>
          <w:szCs w:val="24"/>
          <w:lang w:val="fr-CA"/>
        </w:rPr>
        <w:t xml:space="preserve">supérieurs </w:t>
      </w:r>
      <w:r w:rsidRPr="008B2CA2">
        <w:rPr>
          <w:rFonts w:ascii="Arial" w:hAnsi="Arial" w:cs="Arial"/>
          <w:sz w:val="24"/>
          <w:szCs w:val="24"/>
          <w:lang w:val="fr-CA"/>
        </w:rPr>
        <w:t xml:space="preserve">des </w:t>
      </w:r>
      <w:r>
        <w:rPr>
          <w:rFonts w:ascii="Arial" w:hAnsi="Arial" w:cs="Arial"/>
          <w:sz w:val="24"/>
          <w:szCs w:val="24"/>
          <w:lang w:val="fr-CA"/>
        </w:rPr>
        <w:t>autres groupes</w:t>
      </w:r>
      <w:r w:rsidRPr="008B2CA2">
        <w:rPr>
          <w:rFonts w:ascii="Arial" w:hAnsi="Arial" w:cs="Arial"/>
          <w:sz w:val="24"/>
          <w:szCs w:val="24"/>
          <w:lang w:val="fr-CA"/>
        </w:rPr>
        <w:t>.</w:t>
      </w:r>
    </w:p>
    <w:p w14:paraId="2F46DF42" w14:textId="77777777" w:rsidR="008B2CA2" w:rsidRPr="008B2CA2" w:rsidRDefault="008B2CA2" w:rsidP="008B2CA2">
      <w:pPr>
        <w:pStyle w:val="NoSpacing"/>
        <w:rPr>
          <w:rFonts w:ascii="Arial" w:hAnsi="Arial" w:cs="Arial"/>
          <w:sz w:val="24"/>
          <w:szCs w:val="24"/>
          <w:lang w:val="fr-CA"/>
        </w:rPr>
      </w:pPr>
    </w:p>
    <w:p w14:paraId="21C84600" w14:textId="77777777" w:rsidR="008B2CA2" w:rsidRPr="008B2CA2" w:rsidRDefault="008B2CA2" w:rsidP="008B2CA2">
      <w:pPr>
        <w:pStyle w:val="NoSpacing"/>
        <w:rPr>
          <w:rFonts w:ascii="Arial" w:hAnsi="Arial" w:cs="Arial"/>
          <w:sz w:val="24"/>
          <w:szCs w:val="24"/>
          <w:lang w:val="fr-CA"/>
        </w:rPr>
      </w:pPr>
    </w:p>
    <w:p w14:paraId="71283A80" w14:textId="743D35F9" w:rsidR="001F4327" w:rsidRPr="001F4327" w:rsidRDefault="001F4327" w:rsidP="001F4327">
      <w:pPr>
        <w:pStyle w:val="NoSpacing"/>
        <w:rPr>
          <w:rFonts w:ascii="Arial" w:hAnsi="Arial" w:cs="Arial"/>
          <w:b/>
          <w:bCs/>
          <w:sz w:val="24"/>
          <w:szCs w:val="24"/>
          <w:lang w:val="fr-CA"/>
        </w:rPr>
      </w:pPr>
      <w:r w:rsidRPr="001F4327">
        <w:rPr>
          <w:rFonts w:ascii="Arial" w:hAnsi="Arial" w:cs="Arial"/>
          <w:b/>
          <w:bCs/>
          <w:sz w:val="24"/>
          <w:szCs w:val="24"/>
          <w:lang w:val="fr-CA"/>
        </w:rPr>
        <w:t>Compétitif</w:t>
      </w:r>
      <w:r w:rsidR="008B2CA2">
        <w:rPr>
          <w:rFonts w:ascii="Arial" w:hAnsi="Arial" w:cs="Arial"/>
          <w:b/>
          <w:bCs/>
          <w:sz w:val="24"/>
          <w:szCs w:val="24"/>
          <w:lang w:val="fr-CA"/>
        </w:rPr>
        <w:t> </w:t>
      </w:r>
    </w:p>
    <w:p w14:paraId="78131074" w14:textId="3AAD03E8" w:rsidR="001F4327" w:rsidRPr="001F4327" w:rsidRDefault="001F4327" w:rsidP="001F4327">
      <w:pPr>
        <w:pStyle w:val="NoSpacing"/>
        <w:rPr>
          <w:rFonts w:ascii="Arial" w:hAnsi="Arial" w:cs="Arial"/>
          <w:sz w:val="24"/>
          <w:szCs w:val="24"/>
          <w:lang w:val="fr-CA"/>
        </w:rPr>
      </w:pPr>
      <w:r w:rsidRPr="001F4327">
        <w:rPr>
          <w:rFonts w:ascii="Arial" w:hAnsi="Arial" w:cs="Arial"/>
          <w:sz w:val="24"/>
          <w:szCs w:val="24"/>
          <w:lang w:val="fr-CA"/>
        </w:rPr>
        <w:t xml:space="preserve">Le groupe des cadres supérieurs sera considéré comme concurrentiel lorsque son régime de rémunération globale (composé de la valeur totale en dollars des éléments combinés d'un régime de rémunération, y compris le salaire de base, la rémunération au rendement, les avantages sociaux (p. ex., congés, pension, assurance et autres droits)) est suffisant pour attirer </w:t>
      </w:r>
      <w:r>
        <w:rPr>
          <w:rFonts w:ascii="Arial" w:hAnsi="Arial" w:cs="Arial"/>
          <w:sz w:val="24"/>
          <w:szCs w:val="24"/>
          <w:lang w:val="fr-CA"/>
        </w:rPr>
        <w:t>de façon continue</w:t>
      </w:r>
      <w:r w:rsidRPr="001F4327">
        <w:rPr>
          <w:rFonts w:ascii="Arial" w:hAnsi="Arial" w:cs="Arial"/>
          <w:sz w:val="24"/>
          <w:szCs w:val="24"/>
          <w:lang w:val="fr-CA"/>
        </w:rPr>
        <w:t xml:space="preserve"> les meilleurs talents des groupes de relève et </w:t>
      </w:r>
      <w:r w:rsidR="00D90B42">
        <w:rPr>
          <w:rFonts w:ascii="Arial" w:hAnsi="Arial" w:cs="Arial"/>
          <w:sz w:val="24"/>
          <w:szCs w:val="24"/>
          <w:lang w:val="fr-CA"/>
        </w:rPr>
        <w:t xml:space="preserve">pour assurer le maintien en poste des cadres supérieurs.  </w:t>
      </w:r>
    </w:p>
    <w:p w14:paraId="430F595A" w14:textId="5B8ECE67" w:rsidR="001F4327" w:rsidRDefault="001F4327" w:rsidP="001F4327">
      <w:pPr>
        <w:pStyle w:val="NoSpacing"/>
        <w:rPr>
          <w:rFonts w:ascii="Arial" w:hAnsi="Arial" w:cs="Arial"/>
          <w:sz w:val="24"/>
          <w:szCs w:val="24"/>
          <w:lang w:val="fr-CA"/>
        </w:rPr>
      </w:pPr>
    </w:p>
    <w:p w14:paraId="1775F6E1" w14:textId="77777777" w:rsidR="001F4327" w:rsidRPr="001F4327" w:rsidRDefault="001F4327" w:rsidP="001F4327">
      <w:pPr>
        <w:pStyle w:val="NoSpacing"/>
        <w:rPr>
          <w:rFonts w:ascii="Arial" w:hAnsi="Arial" w:cs="Arial"/>
          <w:sz w:val="24"/>
          <w:szCs w:val="24"/>
          <w:lang w:val="fr-CA"/>
        </w:rPr>
      </w:pPr>
      <w:r w:rsidRPr="001F4327">
        <w:rPr>
          <w:rFonts w:ascii="Arial" w:hAnsi="Arial" w:cs="Arial"/>
          <w:sz w:val="24"/>
          <w:szCs w:val="24"/>
          <w:lang w:val="fr-CA"/>
        </w:rPr>
        <w:t xml:space="preserve">En ce qui concerne les comparateurs externes, P50 ou plus doit être utilisé comme un indicateur de compétitivité. </w:t>
      </w:r>
    </w:p>
    <w:p w14:paraId="70092DC7" w14:textId="7429A6BF" w:rsidR="001F4327" w:rsidRPr="001F4327" w:rsidRDefault="001F4327" w:rsidP="001F4327">
      <w:pPr>
        <w:pStyle w:val="NoSpacing"/>
        <w:rPr>
          <w:rFonts w:ascii="Arial" w:hAnsi="Arial" w:cs="Arial"/>
          <w:sz w:val="24"/>
          <w:szCs w:val="24"/>
          <w:lang w:val="fr-CA"/>
        </w:rPr>
      </w:pPr>
      <w:r>
        <w:rPr>
          <w:rFonts w:ascii="Arial" w:hAnsi="Arial" w:cs="Arial"/>
          <w:sz w:val="24"/>
          <w:szCs w:val="24"/>
          <w:lang w:val="fr-CA"/>
        </w:rPr>
        <w:t xml:space="preserve"> </w:t>
      </w:r>
    </w:p>
    <w:p w14:paraId="2B2E2581" w14:textId="77777777" w:rsidR="001F4327" w:rsidRPr="001F4327" w:rsidRDefault="001F4327" w:rsidP="001F4327">
      <w:pPr>
        <w:pStyle w:val="NoSpacing"/>
        <w:rPr>
          <w:rFonts w:ascii="Arial" w:hAnsi="Arial" w:cs="Arial"/>
          <w:sz w:val="24"/>
          <w:szCs w:val="24"/>
          <w:lang w:val="fr-CA"/>
        </w:rPr>
      </w:pPr>
      <w:r w:rsidRPr="001F4327">
        <w:rPr>
          <w:rFonts w:ascii="Arial" w:hAnsi="Arial" w:cs="Arial"/>
          <w:sz w:val="24"/>
          <w:szCs w:val="24"/>
          <w:lang w:val="fr-CA"/>
        </w:rPr>
        <w:t>En ce qui concerne les groupes de relève, le taux de rémunération maximal au niveau EX-01 est concurrentiel lorsqu'il est supérieur de 10 % ou plus à la moyenne des cinq groupes de relève ayant les taux de rémunération maximaux les plus élevés.</w:t>
      </w:r>
    </w:p>
    <w:p w14:paraId="10912E78" w14:textId="7B5AFBB6" w:rsidR="001F4327" w:rsidRDefault="001F4327" w:rsidP="001F4327">
      <w:pPr>
        <w:pStyle w:val="NoSpacing"/>
        <w:rPr>
          <w:rFonts w:ascii="Arial" w:hAnsi="Arial" w:cs="Arial"/>
          <w:sz w:val="24"/>
          <w:szCs w:val="24"/>
          <w:lang w:val="fr-CA"/>
        </w:rPr>
      </w:pPr>
    </w:p>
    <w:p w14:paraId="6C776FC6" w14:textId="77777777" w:rsidR="00F54FE5" w:rsidRDefault="00F54FE5" w:rsidP="001F4327">
      <w:pPr>
        <w:pStyle w:val="NoSpacing"/>
        <w:rPr>
          <w:rFonts w:ascii="Arial" w:hAnsi="Arial" w:cs="Arial"/>
          <w:sz w:val="24"/>
          <w:szCs w:val="24"/>
          <w:lang w:val="fr-CA"/>
        </w:rPr>
      </w:pPr>
    </w:p>
    <w:p w14:paraId="651B2EA4" w14:textId="6B4C84D8" w:rsidR="006B53BA" w:rsidRPr="006B53BA" w:rsidRDefault="006B53BA" w:rsidP="006B53BA">
      <w:pPr>
        <w:pStyle w:val="NoSpacing"/>
        <w:keepNext/>
        <w:keepLines/>
        <w:rPr>
          <w:rFonts w:ascii="Arial" w:hAnsi="Arial" w:cs="Arial"/>
          <w:i/>
          <w:iCs/>
          <w:sz w:val="24"/>
          <w:szCs w:val="24"/>
          <w:lang w:val="fr-CA"/>
        </w:rPr>
      </w:pPr>
      <w:r w:rsidRPr="006B53BA">
        <w:rPr>
          <w:rFonts w:ascii="Arial" w:hAnsi="Arial" w:cs="Arial"/>
          <w:b/>
          <w:bCs/>
          <w:sz w:val="24"/>
          <w:szCs w:val="24"/>
          <w:lang w:val="fr-CA"/>
        </w:rPr>
        <w:t>Compression salariale</w:t>
      </w:r>
      <w:r w:rsidR="0065782C">
        <w:rPr>
          <w:rFonts w:ascii="Arial" w:hAnsi="Arial" w:cs="Arial"/>
          <w:b/>
          <w:bCs/>
          <w:sz w:val="24"/>
          <w:szCs w:val="24"/>
          <w:lang w:val="fr-CA"/>
        </w:rPr>
        <w:t> </w:t>
      </w:r>
    </w:p>
    <w:p w14:paraId="32F45837" w14:textId="0EA47F7E" w:rsidR="006B53BA" w:rsidRPr="006B53BA" w:rsidRDefault="006B53BA" w:rsidP="006B53BA">
      <w:pPr>
        <w:pStyle w:val="NoSpacing"/>
        <w:keepNext/>
        <w:keepLines/>
        <w:rPr>
          <w:rFonts w:ascii="Arial" w:hAnsi="Arial" w:cs="Arial"/>
          <w:sz w:val="24"/>
          <w:szCs w:val="24"/>
          <w:lang w:val="fr-CA"/>
        </w:rPr>
      </w:pPr>
      <w:r w:rsidRPr="006B53BA">
        <w:rPr>
          <w:rFonts w:ascii="Arial" w:hAnsi="Arial" w:cs="Arial"/>
          <w:sz w:val="24"/>
          <w:szCs w:val="24"/>
          <w:lang w:val="fr-CA"/>
        </w:rPr>
        <w:t>Cette situation existe lorsqu'il y a une différence de moins de 10 % entre le salaire maximal d'un groupe de relève et le salaire maximal du groupe EX-01. Une différence de moins de 10 % peut nuire à l'attraction et à la rétention des meilleurs talents.</w:t>
      </w:r>
    </w:p>
    <w:p w14:paraId="1E1A0A9E" w14:textId="77777777" w:rsidR="006B53BA" w:rsidRPr="006B53BA" w:rsidRDefault="006B53BA" w:rsidP="006B53BA">
      <w:pPr>
        <w:pStyle w:val="NoSpacing"/>
        <w:keepNext/>
        <w:keepLines/>
        <w:rPr>
          <w:rFonts w:ascii="Arial" w:hAnsi="Arial" w:cs="Arial"/>
          <w:sz w:val="24"/>
          <w:szCs w:val="24"/>
          <w:lang w:val="fr-CA"/>
        </w:rPr>
      </w:pPr>
    </w:p>
    <w:p w14:paraId="3C052C97" w14:textId="2D8C7041" w:rsidR="008B2CA2" w:rsidRPr="001C7F0A" w:rsidRDefault="008B2CA2" w:rsidP="001F4327">
      <w:pPr>
        <w:pStyle w:val="NoSpacing"/>
        <w:rPr>
          <w:rFonts w:ascii="Arial" w:hAnsi="Arial" w:cs="Arial"/>
          <w:sz w:val="24"/>
          <w:szCs w:val="24"/>
          <w:lang w:val="fr-CA"/>
        </w:rPr>
      </w:pPr>
    </w:p>
    <w:p w14:paraId="78FD5A27" w14:textId="7191482E" w:rsidR="008B2CA2" w:rsidRPr="008B2CA2" w:rsidRDefault="008B2CA2" w:rsidP="00F54FE5">
      <w:pPr>
        <w:pStyle w:val="NoSpacing"/>
        <w:keepNext/>
        <w:keepLines/>
        <w:rPr>
          <w:rFonts w:ascii="Arial" w:hAnsi="Arial" w:cs="Arial"/>
          <w:b/>
          <w:bCs/>
          <w:sz w:val="24"/>
          <w:szCs w:val="24"/>
          <w:lang w:val="fr-CA"/>
        </w:rPr>
      </w:pPr>
      <w:r w:rsidRPr="008B2CA2">
        <w:rPr>
          <w:rFonts w:ascii="Arial" w:hAnsi="Arial" w:cs="Arial"/>
          <w:b/>
          <w:bCs/>
          <w:sz w:val="24"/>
          <w:szCs w:val="24"/>
          <w:lang w:val="fr-CA"/>
        </w:rPr>
        <w:lastRenderedPageBreak/>
        <w:t>Groupe</w:t>
      </w:r>
      <w:r>
        <w:rPr>
          <w:rFonts w:ascii="Arial" w:hAnsi="Arial" w:cs="Arial"/>
          <w:b/>
          <w:bCs/>
          <w:sz w:val="24"/>
          <w:szCs w:val="24"/>
          <w:lang w:val="fr-CA"/>
        </w:rPr>
        <w:t>s</w:t>
      </w:r>
      <w:r w:rsidRPr="008B2CA2">
        <w:rPr>
          <w:rFonts w:ascii="Arial" w:hAnsi="Arial" w:cs="Arial"/>
          <w:b/>
          <w:bCs/>
          <w:sz w:val="24"/>
          <w:szCs w:val="24"/>
          <w:lang w:val="fr-CA"/>
        </w:rPr>
        <w:t xml:space="preserve"> de relève </w:t>
      </w:r>
      <w:r>
        <w:rPr>
          <w:rFonts w:ascii="Arial" w:hAnsi="Arial" w:cs="Arial"/>
          <w:b/>
          <w:bCs/>
          <w:sz w:val="24"/>
          <w:szCs w:val="24"/>
          <w:lang w:val="fr-CA"/>
        </w:rPr>
        <w:t>principaux</w:t>
      </w:r>
      <w:r w:rsidRPr="008B2CA2">
        <w:rPr>
          <w:rFonts w:ascii="Arial" w:hAnsi="Arial" w:cs="Arial"/>
          <w:b/>
          <w:bCs/>
          <w:sz w:val="24"/>
          <w:szCs w:val="24"/>
          <w:lang w:val="fr-CA"/>
        </w:rPr>
        <w:t xml:space="preserve"> </w:t>
      </w:r>
    </w:p>
    <w:p w14:paraId="2D283711" w14:textId="4FE161F3" w:rsidR="008B2CA2" w:rsidRPr="008B2CA2" w:rsidRDefault="008B2CA2" w:rsidP="00F54FE5">
      <w:pPr>
        <w:pStyle w:val="NoSpacing"/>
        <w:keepNext/>
        <w:keepLines/>
        <w:rPr>
          <w:rFonts w:ascii="Arial" w:hAnsi="Arial" w:cs="Arial"/>
          <w:sz w:val="24"/>
          <w:szCs w:val="24"/>
          <w:lang w:val="fr-CA"/>
        </w:rPr>
      </w:pPr>
      <w:r w:rsidRPr="008B2CA2">
        <w:rPr>
          <w:rFonts w:ascii="Arial" w:hAnsi="Arial" w:cs="Arial"/>
          <w:sz w:val="24"/>
          <w:szCs w:val="24"/>
          <w:lang w:val="fr-CA"/>
        </w:rPr>
        <w:t>L</w:t>
      </w:r>
      <w:r>
        <w:rPr>
          <w:rFonts w:ascii="Arial" w:hAnsi="Arial" w:cs="Arial"/>
          <w:sz w:val="24"/>
          <w:szCs w:val="24"/>
          <w:lang w:val="fr-CA"/>
        </w:rPr>
        <w:t xml:space="preserve">es groupes de relèves principaux sont définis comme les équivalents EX et les EX moins 1, qui </w:t>
      </w:r>
      <w:r w:rsidR="0065782C">
        <w:rPr>
          <w:rFonts w:ascii="Arial" w:hAnsi="Arial" w:cs="Arial"/>
          <w:sz w:val="24"/>
          <w:szCs w:val="24"/>
          <w:lang w:val="fr-CA"/>
        </w:rPr>
        <w:t>sont</w:t>
      </w:r>
      <w:r>
        <w:rPr>
          <w:rFonts w:ascii="Arial" w:hAnsi="Arial" w:cs="Arial"/>
          <w:sz w:val="24"/>
          <w:szCs w:val="24"/>
          <w:lang w:val="fr-CA"/>
        </w:rPr>
        <w:t xml:space="preserve"> généralement </w:t>
      </w:r>
      <w:r w:rsidR="0065782C">
        <w:rPr>
          <w:rFonts w:ascii="Arial" w:hAnsi="Arial" w:cs="Arial"/>
          <w:sz w:val="24"/>
          <w:szCs w:val="24"/>
          <w:lang w:val="fr-CA"/>
        </w:rPr>
        <w:t xml:space="preserve">promus dans </w:t>
      </w:r>
      <w:r>
        <w:rPr>
          <w:rFonts w:ascii="Arial" w:hAnsi="Arial" w:cs="Arial"/>
          <w:sz w:val="24"/>
          <w:szCs w:val="24"/>
          <w:lang w:val="fr-CA"/>
        </w:rPr>
        <w:t>les postes EX vacants.</w:t>
      </w:r>
    </w:p>
    <w:p w14:paraId="65AD16FF" w14:textId="77777777" w:rsidR="008B2CA2" w:rsidRPr="008B2CA2" w:rsidRDefault="008B2CA2" w:rsidP="00F54FE5">
      <w:pPr>
        <w:pStyle w:val="NoSpacing"/>
        <w:keepNext/>
        <w:keepLines/>
        <w:rPr>
          <w:rFonts w:ascii="Arial" w:hAnsi="Arial" w:cs="Arial"/>
          <w:sz w:val="24"/>
          <w:szCs w:val="24"/>
          <w:lang w:val="fr-CA"/>
        </w:rPr>
      </w:pPr>
    </w:p>
    <w:p w14:paraId="6BC9029F" w14:textId="5CDAF8B1" w:rsidR="008B2CA2" w:rsidRDefault="008B2CA2" w:rsidP="00F54FE5">
      <w:pPr>
        <w:pStyle w:val="NoSpacing"/>
        <w:keepNext/>
        <w:keepLines/>
        <w:rPr>
          <w:rFonts w:ascii="Arial" w:hAnsi="Arial" w:cs="Arial"/>
          <w:sz w:val="24"/>
          <w:szCs w:val="24"/>
          <w:lang w:val="fr-CA"/>
        </w:rPr>
      </w:pPr>
      <w:r w:rsidRPr="008B2CA2">
        <w:rPr>
          <w:rFonts w:ascii="Arial" w:hAnsi="Arial" w:cs="Arial"/>
          <w:sz w:val="24"/>
          <w:szCs w:val="24"/>
          <w:lang w:val="fr-CA"/>
        </w:rPr>
        <w:t>Les principaux groupes de relève, qui représentaient 72,0 % de tous les candidats nommés pour pourvoir 592 postes vacants au niveau EX dans l'administration publique centrale, comprennent les groupes EC-07, EC-08, PM-06, AS-07, FI-04, PE-06, IT-05, IS-06, ENG-06 et ES-04.</w:t>
      </w:r>
    </w:p>
    <w:p w14:paraId="57838088" w14:textId="77777777" w:rsidR="008B2CA2" w:rsidRPr="008B2CA2" w:rsidRDefault="008B2CA2" w:rsidP="008B2CA2">
      <w:pPr>
        <w:pStyle w:val="NoSpacing"/>
        <w:rPr>
          <w:rFonts w:ascii="Arial" w:hAnsi="Arial" w:cs="Arial"/>
          <w:sz w:val="24"/>
          <w:szCs w:val="24"/>
          <w:lang w:val="fr-CA"/>
        </w:rPr>
      </w:pPr>
    </w:p>
    <w:p w14:paraId="7FBB2774" w14:textId="49E59609" w:rsidR="008B2CA2" w:rsidRPr="001C7F0A" w:rsidRDefault="008B2CA2" w:rsidP="001F4327">
      <w:pPr>
        <w:pStyle w:val="NoSpacing"/>
        <w:rPr>
          <w:rFonts w:ascii="Arial" w:hAnsi="Arial" w:cs="Arial"/>
          <w:sz w:val="24"/>
          <w:szCs w:val="24"/>
          <w:lang w:val="fr-CA"/>
        </w:rPr>
      </w:pPr>
    </w:p>
    <w:p w14:paraId="59419D87" w14:textId="6D8AF456" w:rsidR="001F4327" w:rsidRPr="001C7F0A" w:rsidRDefault="001F4327" w:rsidP="001F4327">
      <w:pPr>
        <w:pStyle w:val="NoSpacing"/>
        <w:keepNext/>
        <w:keepLines/>
        <w:rPr>
          <w:rFonts w:ascii="Arial" w:hAnsi="Arial" w:cs="Arial"/>
          <w:b/>
          <w:bCs/>
          <w:sz w:val="24"/>
          <w:szCs w:val="24"/>
          <w:lang w:val="fr-CA"/>
        </w:rPr>
      </w:pPr>
      <w:r w:rsidRPr="001C7F0A">
        <w:rPr>
          <w:rFonts w:ascii="Arial" w:hAnsi="Arial" w:cs="Arial"/>
          <w:b/>
          <w:bCs/>
          <w:sz w:val="24"/>
          <w:szCs w:val="24"/>
          <w:lang w:val="fr-CA"/>
        </w:rPr>
        <w:t xml:space="preserve">Groupe des cadres </w:t>
      </w:r>
      <w:r w:rsidRPr="008B2CA2">
        <w:rPr>
          <w:rFonts w:ascii="Arial" w:hAnsi="Arial" w:cs="Arial"/>
          <w:b/>
          <w:bCs/>
          <w:sz w:val="24"/>
          <w:szCs w:val="24"/>
          <w:lang w:val="fr-CA"/>
        </w:rPr>
        <w:t>supérieurs</w:t>
      </w:r>
      <w:r w:rsidRPr="001C7F0A">
        <w:rPr>
          <w:rFonts w:ascii="Arial" w:hAnsi="Arial" w:cs="Arial"/>
          <w:b/>
          <w:bCs/>
          <w:sz w:val="24"/>
          <w:szCs w:val="24"/>
          <w:lang w:val="fr-CA"/>
        </w:rPr>
        <w:t xml:space="preserve"> </w:t>
      </w:r>
    </w:p>
    <w:p w14:paraId="471EFE53" w14:textId="6545DBF5" w:rsidR="001F4327" w:rsidRPr="001F4327" w:rsidRDefault="001F4327" w:rsidP="001F4327">
      <w:pPr>
        <w:pStyle w:val="NoSpacing"/>
        <w:keepNext/>
        <w:keepLines/>
        <w:rPr>
          <w:rFonts w:ascii="Arial" w:hAnsi="Arial" w:cs="Arial"/>
          <w:sz w:val="24"/>
          <w:lang w:val="fr-CA"/>
        </w:rPr>
      </w:pPr>
      <w:r w:rsidRPr="001F4327">
        <w:rPr>
          <w:rFonts w:ascii="Arial" w:hAnsi="Arial" w:cs="Arial"/>
          <w:sz w:val="24"/>
          <w:lang w:val="fr-CA"/>
        </w:rPr>
        <w:t>Le groupe professionnel, tel que défini dans la Gazette du Canada, Partie 1, le 27</w:t>
      </w:r>
      <w:r>
        <w:rPr>
          <w:rFonts w:ascii="Arial" w:hAnsi="Arial" w:cs="Arial"/>
          <w:sz w:val="24"/>
          <w:lang w:val="fr-CA"/>
        </w:rPr>
        <w:t> </w:t>
      </w:r>
      <w:r w:rsidRPr="001F4327">
        <w:rPr>
          <w:rFonts w:ascii="Arial" w:hAnsi="Arial" w:cs="Arial"/>
          <w:sz w:val="24"/>
          <w:lang w:val="fr-CA"/>
        </w:rPr>
        <w:t>mars 1999, tel que modifié de temps à autre, comprenant un employé nommé ou muté à un poste exclu et non représenté dans l'un des groupes et niveaux suivants :</w:t>
      </w:r>
    </w:p>
    <w:p w14:paraId="0B0F83C8" w14:textId="77777777" w:rsidR="001F4327" w:rsidRPr="001F4327" w:rsidRDefault="001F4327" w:rsidP="001F4327">
      <w:pPr>
        <w:pStyle w:val="NoSpacing"/>
        <w:keepNext/>
        <w:keepLines/>
        <w:rPr>
          <w:rFonts w:ascii="Arial" w:hAnsi="Arial" w:cs="Arial"/>
          <w:sz w:val="24"/>
          <w:lang w:val="fr-CA"/>
        </w:rPr>
      </w:pPr>
    </w:p>
    <w:p w14:paraId="32BC6AA9" w14:textId="708E046C" w:rsidR="001F4327" w:rsidRPr="001F4327" w:rsidRDefault="001F4327" w:rsidP="001F4327">
      <w:pPr>
        <w:pStyle w:val="NoSpacing"/>
        <w:keepNext/>
        <w:keepLines/>
        <w:numPr>
          <w:ilvl w:val="0"/>
          <w:numId w:val="26"/>
        </w:numPr>
        <w:rPr>
          <w:rFonts w:ascii="Arial" w:hAnsi="Arial" w:cs="Arial"/>
          <w:sz w:val="24"/>
          <w:szCs w:val="24"/>
          <w:lang w:val="fr-CA"/>
        </w:rPr>
      </w:pPr>
      <w:r w:rsidRPr="001F4327">
        <w:rPr>
          <w:rFonts w:ascii="Arial" w:hAnsi="Arial" w:cs="Arial"/>
          <w:sz w:val="24"/>
          <w:szCs w:val="24"/>
          <w:lang w:val="fr-CA"/>
        </w:rPr>
        <w:t xml:space="preserve">Groupe </w:t>
      </w:r>
      <w:r w:rsidR="00D07C7D">
        <w:rPr>
          <w:rFonts w:ascii="Arial" w:hAnsi="Arial" w:cs="Arial"/>
          <w:sz w:val="24"/>
          <w:szCs w:val="24"/>
          <w:lang w:val="fr-CA"/>
        </w:rPr>
        <w:t>de la direction</w:t>
      </w:r>
      <w:r w:rsidRPr="001F4327">
        <w:rPr>
          <w:rFonts w:ascii="Arial" w:hAnsi="Arial" w:cs="Arial"/>
          <w:sz w:val="24"/>
          <w:szCs w:val="24"/>
          <w:lang w:val="fr-CA"/>
        </w:rPr>
        <w:t xml:space="preserve"> (EX), niveaux 01 à 05 ;</w:t>
      </w:r>
    </w:p>
    <w:p w14:paraId="28970530" w14:textId="61C80B02" w:rsidR="001F4327" w:rsidRPr="001F4327" w:rsidRDefault="001F4327" w:rsidP="001F4327">
      <w:pPr>
        <w:pStyle w:val="NoSpacing"/>
        <w:keepNext/>
        <w:keepLines/>
        <w:numPr>
          <w:ilvl w:val="0"/>
          <w:numId w:val="26"/>
        </w:numPr>
        <w:rPr>
          <w:rFonts w:ascii="Arial" w:hAnsi="Arial" w:cs="Arial"/>
          <w:sz w:val="24"/>
          <w:szCs w:val="24"/>
          <w:lang w:val="fr-CA"/>
        </w:rPr>
      </w:pPr>
      <w:r w:rsidRPr="001F4327">
        <w:rPr>
          <w:rFonts w:ascii="Arial" w:hAnsi="Arial" w:cs="Arial"/>
          <w:sz w:val="24"/>
          <w:szCs w:val="24"/>
          <w:lang w:val="fr-CA"/>
        </w:rPr>
        <w:t xml:space="preserve">Groupe </w:t>
      </w:r>
      <w:r w:rsidR="00D07C7D">
        <w:rPr>
          <w:rFonts w:ascii="Arial" w:hAnsi="Arial" w:cs="Arial"/>
          <w:sz w:val="24"/>
          <w:szCs w:val="24"/>
          <w:lang w:val="fr-CA"/>
        </w:rPr>
        <w:t xml:space="preserve">des services scientifiques de la défense </w:t>
      </w:r>
      <w:r w:rsidRPr="001F4327">
        <w:rPr>
          <w:rFonts w:ascii="Arial" w:hAnsi="Arial" w:cs="Arial"/>
          <w:sz w:val="24"/>
          <w:szCs w:val="24"/>
          <w:lang w:val="fr-CA"/>
        </w:rPr>
        <w:t xml:space="preserve">(DS), niveaux 7A, 7B et </w:t>
      </w:r>
      <w:r w:rsidR="00D07C7D">
        <w:rPr>
          <w:rFonts w:ascii="Arial" w:hAnsi="Arial" w:cs="Arial"/>
          <w:sz w:val="24"/>
          <w:szCs w:val="24"/>
          <w:lang w:val="fr-CA"/>
        </w:rPr>
        <w:t>0</w:t>
      </w:r>
      <w:r w:rsidRPr="001F4327">
        <w:rPr>
          <w:rFonts w:ascii="Arial" w:hAnsi="Arial" w:cs="Arial"/>
          <w:sz w:val="24"/>
          <w:szCs w:val="24"/>
          <w:lang w:val="fr-CA"/>
        </w:rPr>
        <w:t>8 ;</w:t>
      </w:r>
    </w:p>
    <w:p w14:paraId="7EECFF03" w14:textId="0FC545F1" w:rsidR="001F4327" w:rsidRPr="001F4327" w:rsidRDefault="001F4327" w:rsidP="001F4327">
      <w:pPr>
        <w:pStyle w:val="NoSpacing"/>
        <w:keepNext/>
        <w:keepLines/>
        <w:numPr>
          <w:ilvl w:val="0"/>
          <w:numId w:val="26"/>
        </w:numPr>
        <w:rPr>
          <w:rFonts w:ascii="Arial" w:hAnsi="Arial" w:cs="Arial"/>
          <w:sz w:val="24"/>
          <w:szCs w:val="24"/>
          <w:lang w:val="fr-CA"/>
        </w:rPr>
      </w:pPr>
      <w:r w:rsidRPr="001F4327">
        <w:rPr>
          <w:rFonts w:ascii="Arial" w:hAnsi="Arial" w:cs="Arial"/>
          <w:sz w:val="24"/>
          <w:szCs w:val="24"/>
          <w:lang w:val="fr-CA"/>
        </w:rPr>
        <w:t>Groupe des médecins militaires (MD-MOF), niveaux 04 et 05 ;</w:t>
      </w:r>
    </w:p>
    <w:p w14:paraId="4F10B0D1" w14:textId="6F7659B1" w:rsidR="001F4327" w:rsidRPr="001F4327" w:rsidRDefault="001F4327" w:rsidP="001F4327">
      <w:pPr>
        <w:pStyle w:val="NoSpacing"/>
        <w:keepNext/>
        <w:keepLines/>
        <w:numPr>
          <w:ilvl w:val="0"/>
          <w:numId w:val="26"/>
        </w:numPr>
        <w:rPr>
          <w:rFonts w:ascii="Arial" w:hAnsi="Arial" w:cs="Arial"/>
          <w:sz w:val="24"/>
          <w:szCs w:val="24"/>
          <w:lang w:val="fr-CA"/>
        </w:rPr>
      </w:pPr>
      <w:r w:rsidRPr="001F4327">
        <w:rPr>
          <w:rFonts w:ascii="Arial" w:hAnsi="Arial" w:cs="Arial"/>
          <w:sz w:val="24"/>
          <w:szCs w:val="24"/>
          <w:lang w:val="fr-CA"/>
        </w:rPr>
        <w:t xml:space="preserve">Groupe des médecins spécialistes (MD-MSP), niveau </w:t>
      </w:r>
      <w:r w:rsidR="00D07C7D" w:rsidRPr="00D07C7D">
        <w:rPr>
          <w:rFonts w:ascii="Arial" w:hAnsi="Arial" w:cs="Arial"/>
          <w:sz w:val="24"/>
          <w:szCs w:val="24"/>
          <w:lang w:val="fr-CA"/>
        </w:rPr>
        <w:t>0</w:t>
      </w:r>
      <w:r w:rsidRPr="001F4327">
        <w:rPr>
          <w:rFonts w:ascii="Arial" w:hAnsi="Arial" w:cs="Arial"/>
          <w:sz w:val="24"/>
          <w:szCs w:val="24"/>
          <w:lang w:val="fr-CA"/>
        </w:rPr>
        <w:t xml:space="preserve">3 ; </w:t>
      </w:r>
      <w:r w:rsidR="00D07C7D">
        <w:rPr>
          <w:rFonts w:ascii="Arial" w:hAnsi="Arial" w:cs="Arial"/>
          <w:sz w:val="24"/>
          <w:szCs w:val="24"/>
          <w:lang w:val="fr-CA"/>
        </w:rPr>
        <w:t>et</w:t>
      </w:r>
    </w:p>
    <w:p w14:paraId="415100F7" w14:textId="33EAB076" w:rsidR="001F4327" w:rsidRPr="001F4327" w:rsidRDefault="00D07C7D" w:rsidP="00041D59">
      <w:pPr>
        <w:pStyle w:val="NoSpacing"/>
        <w:keepNext/>
        <w:keepLines/>
        <w:numPr>
          <w:ilvl w:val="0"/>
          <w:numId w:val="26"/>
        </w:numPr>
        <w:rPr>
          <w:rFonts w:ascii="Arial" w:hAnsi="Arial" w:cs="Arial"/>
          <w:sz w:val="24"/>
          <w:szCs w:val="24"/>
          <w:lang w:val="fr-CA"/>
        </w:rPr>
      </w:pPr>
      <w:r w:rsidRPr="00D07C7D">
        <w:rPr>
          <w:rFonts w:ascii="Arial" w:hAnsi="Arial" w:cs="Arial"/>
          <w:sz w:val="24"/>
          <w:szCs w:val="24"/>
          <w:lang w:val="fr-CA"/>
        </w:rPr>
        <w:t>Groupe de la gestion du droit (</w:t>
      </w:r>
      <w:r w:rsidR="001F4327" w:rsidRPr="001F4327">
        <w:rPr>
          <w:rFonts w:ascii="Arial" w:hAnsi="Arial" w:cs="Arial"/>
          <w:sz w:val="24"/>
          <w:szCs w:val="24"/>
          <w:lang w:val="fr-CA"/>
        </w:rPr>
        <w:t>LC), niveaux 01 à 04.</w:t>
      </w:r>
    </w:p>
    <w:p w14:paraId="0BAD891D" w14:textId="77777777" w:rsidR="001F4327" w:rsidRPr="001F4327" w:rsidRDefault="001F4327" w:rsidP="001F4327">
      <w:pPr>
        <w:pStyle w:val="NoSpacing"/>
        <w:keepNext/>
        <w:keepLines/>
        <w:rPr>
          <w:rFonts w:ascii="Arial" w:hAnsi="Arial" w:cs="Arial"/>
          <w:sz w:val="24"/>
          <w:szCs w:val="24"/>
          <w:lang w:val="fr-CA"/>
        </w:rPr>
      </w:pPr>
    </w:p>
    <w:p w14:paraId="0EB49FAA" w14:textId="77777777" w:rsidR="006B53BA" w:rsidRDefault="006B53BA" w:rsidP="006B53BA">
      <w:pPr>
        <w:pStyle w:val="NoSpacing"/>
        <w:rPr>
          <w:rFonts w:ascii="Arial" w:hAnsi="Arial" w:cs="Arial"/>
          <w:b/>
          <w:bCs/>
          <w:sz w:val="24"/>
          <w:szCs w:val="24"/>
          <w:lang w:val="fr-CA"/>
        </w:rPr>
      </w:pPr>
    </w:p>
    <w:p w14:paraId="54EBC162" w14:textId="06CC692D" w:rsidR="006B53BA" w:rsidRPr="006B53BA" w:rsidRDefault="006B53BA" w:rsidP="006B53BA">
      <w:pPr>
        <w:pStyle w:val="NoSpacing"/>
        <w:rPr>
          <w:rFonts w:ascii="Arial" w:hAnsi="Arial" w:cs="Arial"/>
          <w:b/>
          <w:bCs/>
          <w:sz w:val="24"/>
          <w:szCs w:val="24"/>
          <w:lang w:val="fr-CA"/>
        </w:rPr>
      </w:pPr>
      <w:r w:rsidRPr="006B53BA">
        <w:rPr>
          <w:rFonts w:ascii="Arial" w:hAnsi="Arial" w:cs="Arial"/>
          <w:b/>
          <w:bCs/>
          <w:sz w:val="24"/>
          <w:szCs w:val="24"/>
          <w:lang w:val="fr-CA"/>
        </w:rPr>
        <w:t>Inversion salariale</w:t>
      </w:r>
      <w:r>
        <w:rPr>
          <w:rFonts w:ascii="Arial" w:hAnsi="Arial" w:cs="Arial"/>
          <w:b/>
          <w:bCs/>
          <w:sz w:val="24"/>
          <w:szCs w:val="24"/>
          <w:lang w:val="fr-CA"/>
        </w:rPr>
        <w:t xml:space="preserve">  </w:t>
      </w:r>
    </w:p>
    <w:p w14:paraId="7366B785" w14:textId="5814CDCD" w:rsidR="006B53BA" w:rsidRPr="006B53BA" w:rsidRDefault="006B53BA" w:rsidP="006B53BA">
      <w:pPr>
        <w:pStyle w:val="NoSpacing"/>
        <w:rPr>
          <w:rFonts w:ascii="Arial" w:hAnsi="Arial" w:cs="Arial"/>
          <w:sz w:val="24"/>
          <w:szCs w:val="24"/>
          <w:lang w:val="fr-CA"/>
        </w:rPr>
      </w:pPr>
      <w:r w:rsidRPr="006B53BA">
        <w:rPr>
          <w:rFonts w:ascii="Arial" w:hAnsi="Arial" w:cs="Arial"/>
          <w:sz w:val="24"/>
          <w:szCs w:val="24"/>
          <w:lang w:val="fr-CA"/>
        </w:rPr>
        <w:t xml:space="preserve">Cette situation se produit lorsque le </w:t>
      </w:r>
      <w:r>
        <w:rPr>
          <w:rFonts w:ascii="Arial" w:hAnsi="Arial" w:cs="Arial"/>
          <w:sz w:val="24"/>
          <w:szCs w:val="24"/>
          <w:lang w:val="fr-CA"/>
        </w:rPr>
        <w:t xml:space="preserve">maximum de l’échelle salariale </w:t>
      </w:r>
      <w:r w:rsidRPr="006B53BA">
        <w:rPr>
          <w:rFonts w:ascii="Arial" w:hAnsi="Arial" w:cs="Arial"/>
          <w:sz w:val="24"/>
          <w:szCs w:val="24"/>
          <w:lang w:val="fr-CA"/>
        </w:rPr>
        <w:t xml:space="preserve">du groupe de relève dépasse le </w:t>
      </w:r>
      <w:r>
        <w:rPr>
          <w:rFonts w:ascii="Arial" w:hAnsi="Arial" w:cs="Arial"/>
          <w:sz w:val="24"/>
          <w:szCs w:val="24"/>
          <w:lang w:val="fr-CA"/>
        </w:rPr>
        <w:t>maximum de l’échelle salariale</w:t>
      </w:r>
      <w:r w:rsidRPr="006B53BA">
        <w:rPr>
          <w:rFonts w:ascii="Arial" w:hAnsi="Arial" w:cs="Arial"/>
          <w:sz w:val="24"/>
          <w:szCs w:val="24"/>
          <w:lang w:val="fr-CA"/>
        </w:rPr>
        <w:t xml:space="preserve"> du EX-01. </w:t>
      </w:r>
    </w:p>
    <w:p w14:paraId="469B713C" w14:textId="77777777" w:rsidR="006B53BA" w:rsidRPr="006B53BA" w:rsidRDefault="006B53BA" w:rsidP="006B53BA">
      <w:pPr>
        <w:pStyle w:val="NoSpacing"/>
        <w:rPr>
          <w:rFonts w:ascii="Arial" w:hAnsi="Arial" w:cs="Arial"/>
          <w:sz w:val="28"/>
          <w:szCs w:val="28"/>
          <w:lang w:val="fr-CA"/>
        </w:rPr>
      </w:pPr>
    </w:p>
    <w:p w14:paraId="3503797D" w14:textId="77777777" w:rsidR="001F4327" w:rsidRPr="006B53BA" w:rsidRDefault="001F4327" w:rsidP="0079112E">
      <w:pPr>
        <w:pStyle w:val="NoSpacing"/>
        <w:rPr>
          <w:rFonts w:ascii="Arial" w:hAnsi="Arial" w:cs="Arial"/>
          <w:b/>
          <w:bCs/>
          <w:sz w:val="24"/>
          <w:szCs w:val="24"/>
          <w:lang w:val="fr-CA"/>
        </w:rPr>
      </w:pPr>
    </w:p>
    <w:p w14:paraId="22C4E05B" w14:textId="6AEBA668" w:rsidR="0079112E" w:rsidRPr="0079112E" w:rsidRDefault="0079112E" w:rsidP="0079112E">
      <w:pPr>
        <w:pStyle w:val="NoSpacing"/>
        <w:rPr>
          <w:rFonts w:ascii="Arial" w:hAnsi="Arial" w:cs="Arial"/>
          <w:i/>
          <w:iCs/>
          <w:sz w:val="26"/>
          <w:szCs w:val="26"/>
          <w:highlight w:val="yellow"/>
          <w:lang w:val="fr-CA"/>
        </w:rPr>
      </w:pPr>
      <w:r w:rsidRPr="0079112E">
        <w:rPr>
          <w:rFonts w:ascii="Arial" w:hAnsi="Arial" w:cs="Arial"/>
          <w:b/>
          <w:bCs/>
          <w:sz w:val="24"/>
          <w:szCs w:val="24"/>
          <w:lang w:val="fr-CA"/>
        </w:rPr>
        <w:t xml:space="preserve">Méthodologie de classification </w:t>
      </w:r>
    </w:p>
    <w:p w14:paraId="454DE62F" w14:textId="4B614260" w:rsidR="0079112E" w:rsidRPr="0079112E" w:rsidRDefault="0079112E" w:rsidP="0079112E">
      <w:pPr>
        <w:pStyle w:val="NoSpacing"/>
        <w:rPr>
          <w:rFonts w:ascii="Arial" w:hAnsi="Arial" w:cs="Arial"/>
          <w:sz w:val="24"/>
          <w:szCs w:val="24"/>
          <w:lang w:val="fr-CA"/>
        </w:rPr>
      </w:pPr>
      <w:r w:rsidRPr="0079112E">
        <w:rPr>
          <w:rFonts w:ascii="Arial" w:hAnsi="Arial" w:cs="Arial"/>
          <w:sz w:val="24"/>
          <w:szCs w:val="24"/>
          <w:lang w:val="fr-CA"/>
        </w:rPr>
        <w:t>Un système d'évaluation des emplois par facteurs de points qui évalue les emplois en fonction du "savoir-faire", de la "résolution de problèmes" et de la "responsabilité". Actuellement, la méthod</w:t>
      </w:r>
      <w:r>
        <w:rPr>
          <w:rFonts w:ascii="Arial" w:hAnsi="Arial" w:cs="Arial"/>
          <w:sz w:val="24"/>
          <w:szCs w:val="24"/>
          <w:lang w:val="fr-CA"/>
        </w:rPr>
        <w:t xml:space="preserve">e des barèmes d’évaluation </w:t>
      </w:r>
      <w:r w:rsidRPr="0079112E">
        <w:rPr>
          <w:rFonts w:ascii="Arial" w:hAnsi="Arial" w:cs="Arial"/>
          <w:sz w:val="24"/>
          <w:szCs w:val="24"/>
          <w:lang w:val="fr-CA"/>
        </w:rPr>
        <w:t>Hay</w:t>
      </w:r>
      <w:r>
        <w:rPr>
          <w:rFonts w:ascii="Arial" w:hAnsi="Arial" w:cs="Arial"/>
          <w:sz w:val="24"/>
          <w:szCs w:val="24"/>
          <w:lang w:val="fr-CA"/>
        </w:rPr>
        <w:t>, appelée généralement Plan Hay</w:t>
      </w:r>
      <w:r w:rsidRPr="0079112E">
        <w:rPr>
          <w:rFonts w:ascii="Arial" w:hAnsi="Arial" w:cs="Arial"/>
          <w:sz w:val="24"/>
          <w:szCs w:val="24"/>
          <w:lang w:val="fr-CA"/>
        </w:rPr>
        <w:t>, est la propriété de la société</w:t>
      </w:r>
      <w:r w:rsidR="0065782C">
        <w:rPr>
          <w:rFonts w:ascii="Arial" w:hAnsi="Arial" w:cs="Arial"/>
          <w:sz w:val="24"/>
          <w:szCs w:val="24"/>
          <w:lang w:val="fr-CA"/>
        </w:rPr>
        <w:t>-</w:t>
      </w:r>
      <w:r w:rsidRPr="0079112E">
        <w:rPr>
          <w:rFonts w:ascii="Arial" w:hAnsi="Arial" w:cs="Arial"/>
          <w:sz w:val="24"/>
          <w:szCs w:val="24"/>
          <w:lang w:val="fr-CA"/>
        </w:rPr>
        <w:t>conseil internationale Korn Ferry.</w:t>
      </w:r>
    </w:p>
    <w:p w14:paraId="6C86E92F" w14:textId="6AB0FFE5" w:rsidR="0079112E" w:rsidRDefault="0079112E" w:rsidP="0079112E">
      <w:pPr>
        <w:pStyle w:val="NoSpacing"/>
        <w:rPr>
          <w:rFonts w:ascii="Arial" w:hAnsi="Arial" w:cs="Arial"/>
          <w:sz w:val="24"/>
          <w:szCs w:val="24"/>
          <w:lang w:val="fr-CA"/>
        </w:rPr>
      </w:pPr>
    </w:p>
    <w:p w14:paraId="2355E868" w14:textId="31C1AD0E" w:rsidR="008B2CA2" w:rsidRDefault="008B2CA2" w:rsidP="0079112E">
      <w:pPr>
        <w:pStyle w:val="NoSpacing"/>
        <w:rPr>
          <w:rFonts w:ascii="Arial" w:hAnsi="Arial" w:cs="Arial"/>
          <w:sz w:val="24"/>
          <w:szCs w:val="24"/>
          <w:lang w:val="fr-CA"/>
        </w:rPr>
      </w:pPr>
    </w:p>
    <w:p w14:paraId="3525917B" w14:textId="6D5BD36C" w:rsidR="008B2CA2" w:rsidRPr="008B2CA2" w:rsidRDefault="008B2CA2" w:rsidP="006B53BA">
      <w:pPr>
        <w:pStyle w:val="NoSpacing"/>
        <w:keepNext/>
        <w:keepLines/>
        <w:rPr>
          <w:rFonts w:ascii="Arial" w:hAnsi="Arial" w:cs="Arial"/>
          <w:b/>
          <w:bCs/>
          <w:sz w:val="24"/>
          <w:szCs w:val="24"/>
          <w:lang w:val="fr-CA"/>
        </w:rPr>
      </w:pPr>
      <w:r w:rsidRPr="008B2CA2">
        <w:rPr>
          <w:rFonts w:ascii="Arial" w:hAnsi="Arial" w:cs="Arial"/>
          <w:b/>
          <w:bCs/>
          <w:sz w:val="24"/>
          <w:szCs w:val="24"/>
          <w:lang w:val="fr-CA"/>
        </w:rPr>
        <w:lastRenderedPageBreak/>
        <w:t>Rémunération et prime au rend</w:t>
      </w:r>
      <w:r>
        <w:rPr>
          <w:rFonts w:ascii="Arial" w:hAnsi="Arial" w:cs="Arial"/>
          <w:b/>
          <w:bCs/>
          <w:sz w:val="24"/>
          <w:szCs w:val="24"/>
          <w:lang w:val="fr-CA"/>
        </w:rPr>
        <w:t xml:space="preserve">ement  </w:t>
      </w:r>
    </w:p>
    <w:p w14:paraId="3EF4E80A" w14:textId="7E07C780" w:rsidR="008B2CA2" w:rsidRPr="008B2CA2" w:rsidRDefault="008B2CA2" w:rsidP="006B53BA">
      <w:pPr>
        <w:pStyle w:val="NoSpacing"/>
        <w:keepNext/>
        <w:keepLines/>
        <w:rPr>
          <w:rFonts w:ascii="Arial" w:hAnsi="Arial" w:cs="Arial"/>
          <w:sz w:val="24"/>
          <w:szCs w:val="24"/>
          <w:lang w:val="fr-CA"/>
        </w:rPr>
      </w:pPr>
      <w:r w:rsidRPr="008B2CA2">
        <w:rPr>
          <w:rFonts w:ascii="Arial" w:hAnsi="Arial" w:cs="Arial"/>
          <w:sz w:val="24"/>
          <w:szCs w:val="24"/>
          <w:lang w:val="fr-CA"/>
        </w:rPr>
        <w:t xml:space="preserve">La rémunération et les primes </w:t>
      </w:r>
      <w:r>
        <w:rPr>
          <w:rFonts w:ascii="Arial" w:hAnsi="Arial" w:cs="Arial"/>
          <w:sz w:val="24"/>
          <w:szCs w:val="24"/>
          <w:lang w:val="fr-CA"/>
        </w:rPr>
        <w:t>au rendement</w:t>
      </w:r>
      <w:r w:rsidRPr="008B2CA2">
        <w:rPr>
          <w:rFonts w:ascii="Arial" w:hAnsi="Arial" w:cs="Arial"/>
          <w:sz w:val="24"/>
          <w:szCs w:val="24"/>
          <w:lang w:val="fr-CA"/>
        </w:rPr>
        <w:t xml:space="preserve"> sont, par nature, à risque et dépendent entièrement de la collecte, de l'analyse et de l'évaluation systématiques de la contribution effective d'un individu sur la base de mesures prédéfinies. Un </w:t>
      </w:r>
      <w:r w:rsidR="0065782C">
        <w:rPr>
          <w:rFonts w:ascii="Arial" w:hAnsi="Arial" w:cs="Arial"/>
          <w:sz w:val="24"/>
          <w:szCs w:val="24"/>
          <w:lang w:val="fr-CA"/>
        </w:rPr>
        <w:t>régime</w:t>
      </w:r>
      <w:r w:rsidRPr="008B2CA2">
        <w:rPr>
          <w:rFonts w:ascii="Arial" w:hAnsi="Arial" w:cs="Arial"/>
          <w:sz w:val="24"/>
          <w:szCs w:val="24"/>
          <w:lang w:val="fr-CA"/>
        </w:rPr>
        <w:t xml:space="preserve"> bien conçu et bien </w:t>
      </w:r>
      <w:r w:rsidR="006B53BA">
        <w:rPr>
          <w:rFonts w:ascii="Arial" w:hAnsi="Arial" w:cs="Arial"/>
          <w:sz w:val="24"/>
          <w:szCs w:val="24"/>
          <w:lang w:val="fr-CA"/>
        </w:rPr>
        <w:t>géré</w:t>
      </w:r>
      <w:r w:rsidRPr="008B2CA2">
        <w:rPr>
          <w:rFonts w:ascii="Arial" w:hAnsi="Arial" w:cs="Arial"/>
          <w:sz w:val="24"/>
          <w:szCs w:val="24"/>
          <w:lang w:val="fr-CA"/>
        </w:rPr>
        <w:t xml:space="preserve"> devrait reconnaître l'effort et offrir une récompense appropriée, motiver, améliorer la satisfaction professionnelle globale, augmenter la productivité et influencer positivement l'attraction et la rétention des meilleurs talents.</w:t>
      </w:r>
    </w:p>
    <w:p w14:paraId="64F27E14" w14:textId="4E21B944" w:rsidR="008B2CA2" w:rsidRDefault="008B2CA2" w:rsidP="008B2CA2">
      <w:pPr>
        <w:pStyle w:val="NoSpacing"/>
        <w:rPr>
          <w:rFonts w:ascii="Arial" w:hAnsi="Arial" w:cs="Arial"/>
          <w:sz w:val="24"/>
          <w:szCs w:val="24"/>
          <w:lang w:val="fr-CA"/>
        </w:rPr>
      </w:pPr>
    </w:p>
    <w:p w14:paraId="7ECD562B" w14:textId="77777777" w:rsidR="00F54FE5" w:rsidRPr="008B2CA2" w:rsidRDefault="00F54FE5" w:rsidP="008B2CA2">
      <w:pPr>
        <w:pStyle w:val="NoSpacing"/>
        <w:rPr>
          <w:rFonts w:ascii="Arial" w:hAnsi="Arial" w:cs="Arial"/>
          <w:sz w:val="24"/>
          <w:szCs w:val="24"/>
          <w:lang w:val="fr-CA"/>
        </w:rPr>
      </w:pPr>
    </w:p>
    <w:p w14:paraId="6F2F719C" w14:textId="76CAC8F2" w:rsidR="004B7969" w:rsidRPr="00082415" w:rsidRDefault="00082415" w:rsidP="006B53BA">
      <w:pPr>
        <w:pStyle w:val="NoSpacing"/>
        <w:keepNext/>
        <w:keepLines/>
        <w:rPr>
          <w:rFonts w:ascii="Arial" w:hAnsi="Arial" w:cs="Arial"/>
          <w:b/>
          <w:bCs/>
          <w:sz w:val="24"/>
          <w:szCs w:val="24"/>
          <w:lang w:val="fr-CA"/>
        </w:rPr>
      </w:pPr>
      <w:r w:rsidRPr="00082415">
        <w:rPr>
          <w:rFonts w:ascii="Arial" w:hAnsi="Arial" w:cs="Arial"/>
          <w:b/>
          <w:bCs/>
          <w:sz w:val="24"/>
          <w:szCs w:val="24"/>
          <w:lang w:val="fr-CA"/>
        </w:rPr>
        <w:t xml:space="preserve">Salaire de base </w:t>
      </w:r>
    </w:p>
    <w:p w14:paraId="1CBE5E32" w14:textId="356071F4" w:rsidR="00082415" w:rsidRDefault="00082415" w:rsidP="006B53BA">
      <w:pPr>
        <w:pStyle w:val="NoSpacing"/>
        <w:keepNext/>
        <w:keepLines/>
        <w:rPr>
          <w:rFonts w:ascii="Arial" w:hAnsi="Arial" w:cs="Arial"/>
          <w:sz w:val="24"/>
          <w:szCs w:val="24"/>
          <w:lang w:val="fr-CA"/>
        </w:rPr>
      </w:pPr>
      <w:r w:rsidRPr="00082415">
        <w:rPr>
          <w:rFonts w:ascii="Arial" w:hAnsi="Arial" w:cs="Arial"/>
          <w:sz w:val="24"/>
          <w:szCs w:val="24"/>
          <w:lang w:val="fr-CA"/>
        </w:rPr>
        <w:t>La partie fixe et régulière de la rémunération qu’un employé touche pour l’exercice des fonctions régulières de son poste, mis à part les allocations, la rémunération au rendement, ou autres formes de rémunération</w:t>
      </w:r>
      <w:r>
        <w:rPr>
          <w:rFonts w:ascii="Arial" w:hAnsi="Arial" w:cs="Arial"/>
          <w:sz w:val="24"/>
          <w:szCs w:val="24"/>
          <w:lang w:val="fr-CA"/>
        </w:rPr>
        <w:t xml:space="preserve"> ou droits.</w:t>
      </w:r>
    </w:p>
    <w:p w14:paraId="33F1AE76" w14:textId="77777777" w:rsidR="00082415" w:rsidRDefault="00082415" w:rsidP="004B7969">
      <w:pPr>
        <w:pStyle w:val="NoSpacing"/>
        <w:rPr>
          <w:rFonts w:ascii="Arial" w:hAnsi="Arial" w:cs="Arial"/>
          <w:sz w:val="24"/>
          <w:szCs w:val="24"/>
          <w:lang w:val="fr-CA"/>
        </w:rPr>
      </w:pPr>
    </w:p>
    <w:p w14:paraId="1955B688" w14:textId="77777777" w:rsidR="004B7969" w:rsidRPr="001C7F0A" w:rsidRDefault="004B7969" w:rsidP="004B7969">
      <w:pPr>
        <w:pStyle w:val="NoSpacing"/>
        <w:rPr>
          <w:rFonts w:ascii="Arial" w:hAnsi="Arial" w:cs="Arial"/>
          <w:sz w:val="24"/>
          <w:szCs w:val="24"/>
          <w:lang w:val="fr-CA"/>
        </w:rPr>
      </w:pPr>
    </w:p>
    <w:p w14:paraId="33C3016B" w14:textId="7F78066F" w:rsidR="004B7969" w:rsidRPr="00D07C7D" w:rsidRDefault="00D07C7D" w:rsidP="004B7969">
      <w:pPr>
        <w:pStyle w:val="NoSpacing"/>
        <w:rPr>
          <w:rFonts w:ascii="Arial" w:hAnsi="Arial" w:cs="Arial"/>
          <w:b/>
          <w:bCs/>
          <w:sz w:val="24"/>
          <w:szCs w:val="24"/>
          <w:lang w:val="fr-CA"/>
        </w:rPr>
      </w:pPr>
      <w:r w:rsidRPr="00D07C7D">
        <w:rPr>
          <w:rFonts w:ascii="Arial" w:hAnsi="Arial" w:cs="Arial"/>
          <w:b/>
          <w:bCs/>
          <w:sz w:val="24"/>
          <w:szCs w:val="24"/>
          <w:lang w:val="fr-CA"/>
        </w:rPr>
        <w:t>Structure du groupe des c</w:t>
      </w:r>
      <w:r>
        <w:rPr>
          <w:rFonts w:ascii="Arial" w:hAnsi="Arial" w:cs="Arial"/>
          <w:b/>
          <w:bCs/>
          <w:sz w:val="24"/>
          <w:szCs w:val="24"/>
          <w:lang w:val="fr-CA"/>
        </w:rPr>
        <w:t>adres supérieurs</w:t>
      </w:r>
      <w:r w:rsidR="00AC37C6">
        <w:rPr>
          <w:rFonts w:ascii="Arial" w:hAnsi="Arial" w:cs="Arial"/>
          <w:b/>
          <w:bCs/>
          <w:sz w:val="24"/>
          <w:szCs w:val="24"/>
          <w:lang w:val="fr-CA"/>
        </w:rPr>
        <w:t xml:space="preserve"> </w:t>
      </w:r>
    </w:p>
    <w:p w14:paraId="19E850D5" w14:textId="7819A345" w:rsidR="004B7969" w:rsidRDefault="00D07C7D" w:rsidP="004B7969">
      <w:pPr>
        <w:pStyle w:val="NoSpacing"/>
        <w:rPr>
          <w:rFonts w:ascii="Arial" w:hAnsi="Arial" w:cs="Arial"/>
          <w:sz w:val="24"/>
          <w:szCs w:val="24"/>
          <w:lang w:val="fr-CA"/>
        </w:rPr>
      </w:pPr>
      <w:r w:rsidRPr="00D07C7D">
        <w:rPr>
          <w:rFonts w:ascii="Arial" w:hAnsi="Arial" w:cs="Arial"/>
          <w:sz w:val="24"/>
          <w:szCs w:val="24"/>
          <w:lang w:val="fr-CA"/>
        </w:rPr>
        <w:t>La structure du groupe des cadres supérieurs (EX) comprend les emplois classés aux niveaux EX 01 à 05.</w:t>
      </w:r>
    </w:p>
    <w:p w14:paraId="0A99753F" w14:textId="3C33AA02" w:rsidR="00D07C7D" w:rsidRDefault="00D07C7D" w:rsidP="004B7969">
      <w:pPr>
        <w:pStyle w:val="NoSpacing"/>
        <w:rPr>
          <w:rFonts w:ascii="Arial" w:hAnsi="Arial" w:cs="Arial"/>
          <w:sz w:val="24"/>
          <w:szCs w:val="24"/>
          <w:lang w:val="fr-CA"/>
        </w:rPr>
      </w:pPr>
    </w:p>
    <w:p w14:paraId="3B1A753D" w14:textId="77777777" w:rsidR="004B7969" w:rsidRPr="001C7F0A" w:rsidRDefault="004B7969" w:rsidP="004B7969">
      <w:pPr>
        <w:pStyle w:val="NoSpacing"/>
        <w:rPr>
          <w:rFonts w:ascii="Arial" w:hAnsi="Arial" w:cs="Arial"/>
          <w:sz w:val="24"/>
          <w:szCs w:val="24"/>
          <w:lang w:val="fr-CA"/>
        </w:rPr>
      </w:pPr>
    </w:p>
    <w:p w14:paraId="36EB5FF9" w14:textId="3E02EDB4" w:rsidR="00D87DAF" w:rsidRPr="001C7F0A" w:rsidRDefault="004B7969" w:rsidP="008969D8">
      <w:pPr>
        <w:spacing w:line="360" w:lineRule="auto"/>
        <w:rPr>
          <w:rFonts w:ascii="Arial" w:hAnsi="Arial" w:cs="Arial"/>
          <w:kern w:val="0"/>
        </w:rPr>
      </w:pPr>
      <w:r w:rsidRPr="001C7F0A">
        <w:rPr>
          <w:rFonts w:ascii="Arial" w:hAnsi="Arial" w:cs="Arial"/>
          <w:kern w:val="0"/>
        </w:rPr>
        <w:t xml:space="preserve">                </w:t>
      </w:r>
      <w:r w:rsidR="008969D8" w:rsidRPr="001C7F0A">
        <w:rPr>
          <w:rFonts w:ascii="Arial" w:hAnsi="Arial" w:cs="Arial"/>
          <w:kern w:val="0"/>
        </w:rPr>
        <w:t xml:space="preserve"> </w:t>
      </w:r>
    </w:p>
    <w:sectPr w:rsidR="00D87DAF" w:rsidRPr="001C7F0A" w:rsidSect="00004CEA">
      <w:footerReference w:type="even" r:id="rId8"/>
      <w:footerReference w:type="default" r:id="rId9"/>
      <w:headerReference w:type="first" r:id="rId10"/>
      <w:footerReference w:type="first" r:id="rId11"/>
      <w:pgSz w:w="12240" w:h="15840" w:code="1"/>
      <w:pgMar w:top="2546" w:right="1267" w:bottom="274" w:left="1714" w:header="720" w:footer="25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FD077" w14:textId="77777777" w:rsidR="00B946E3" w:rsidRDefault="00B946E3">
      <w:r>
        <w:separator/>
      </w:r>
    </w:p>
  </w:endnote>
  <w:endnote w:type="continuationSeparator" w:id="0">
    <w:p w14:paraId="4094B4C4" w14:textId="77777777" w:rsidR="00B946E3" w:rsidRDefault="00B9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595959" w:themeColor="text1" w:themeTint="A6"/>
        <w:sz w:val="18"/>
        <w:szCs w:val="18"/>
      </w:rPr>
      <w:id w:val="-848955456"/>
      <w:docPartObj>
        <w:docPartGallery w:val="Page Numbers (Bottom of Page)"/>
        <w:docPartUnique/>
      </w:docPartObj>
    </w:sdtPr>
    <w:sdtEndPr/>
    <w:sdtContent>
      <w:sdt>
        <w:sdtPr>
          <w:rPr>
            <w:color w:val="595959" w:themeColor="text1" w:themeTint="A6"/>
            <w:sz w:val="18"/>
            <w:szCs w:val="18"/>
          </w:rPr>
          <w:id w:val="-1769616900"/>
          <w:docPartObj>
            <w:docPartGallery w:val="Page Numbers (Top of Page)"/>
            <w:docPartUnique/>
          </w:docPartObj>
        </w:sdtPr>
        <w:sdtEndPr/>
        <w:sdtContent>
          <w:p w14:paraId="174B4B6E" w14:textId="1B0FF318" w:rsidR="00F427B8" w:rsidRPr="006D6AFF" w:rsidRDefault="001C2703">
            <w:pPr>
              <w:pStyle w:val="Footer"/>
              <w:jc w:val="right"/>
              <w:rPr>
                <w:color w:val="595959" w:themeColor="text1" w:themeTint="A6"/>
                <w:sz w:val="18"/>
                <w:szCs w:val="18"/>
              </w:rPr>
            </w:pPr>
            <w:r w:rsidRPr="006D6AFF">
              <w:rPr>
                <w:noProof/>
                <w:color w:val="595959" w:themeColor="text1" w:themeTint="A6"/>
                <w:sz w:val="18"/>
                <w:szCs w:val="18"/>
              </w:rPr>
              <w:drawing>
                <wp:anchor distT="0" distB="0" distL="114300" distR="114300" simplePos="0" relativeHeight="251665408" behindDoc="0" locked="0" layoutInCell="1" allowOverlap="1" wp14:anchorId="0510BCCE" wp14:editId="6E27DC23">
                  <wp:simplePos x="0" y="0"/>
                  <wp:positionH relativeFrom="column">
                    <wp:posOffset>-1106939</wp:posOffset>
                  </wp:positionH>
                  <wp:positionV relativeFrom="paragraph">
                    <wp:posOffset>245110</wp:posOffset>
                  </wp:positionV>
                  <wp:extent cx="7827264" cy="1508760"/>
                  <wp:effectExtent l="0" t="0" r="0" b="254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827264" cy="1508760"/>
                          </a:xfrm>
                          <a:prstGeom prst="rect">
                            <a:avLst/>
                          </a:prstGeom>
                        </pic:spPr>
                      </pic:pic>
                    </a:graphicData>
                  </a:graphic>
                  <wp14:sizeRelH relativeFrom="margin">
                    <wp14:pctWidth>0</wp14:pctWidth>
                  </wp14:sizeRelH>
                  <wp14:sizeRelV relativeFrom="margin">
                    <wp14:pctHeight>0</wp14:pctHeight>
                  </wp14:sizeRelV>
                </wp:anchor>
              </w:drawing>
            </w:r>
            <w:r w:rsidR="0054672D">
              <w:rPr>
                <w:color w:val="595959" w:themeColor="text1" w:themeTint="A6"/>
                <w:sz w:val="18"/>
                <w:szCs w:val="18"/>
              </w:rPr>
              <w:t>/</w:t>
            </w:r>
            <w:r w:rsidR="00F41F01" w:rsidRPr="00F41F01">
              <w:rPr>
                <w:color w:val="7F7F7F" w:themeColor="background1" w:themeShade="7F"/>
                <w:spacing w:val="60"/>
                <w:sz w:val="18"/>
                <w:szCs w:val="18"/>
              </w:rPr>
              <w:t>Page</w:t>
            </w:r>
            <w:r w:rsidR="00F41F01" w:rsidRPr="00F41F01">
              <w:rPr>
                <w:color w:val="595959" w:themeColor="text1" w:themeTint="A6"/>
                <w:sz w:val="18"/>
                <w:szCs w:val="18"/>
              </w:rPr>
              <w:t xml:space="preserve"> | </w:t>
            </w:r>
            <w:r w:rsidR="00F41F01" w:rsidRPr="00F41F01">
              <w:rPr>
                <w:color w:val="595959" w:themeColor="text1" w:themeTint="A6"/>
                <w:sz w:val="18"/>
                <w:szCs w:val="18"/>
              </w:rPr>
              <w:fldChar w:fldCharType="begin"/>
            </w:r>
            <w:r w:rsidR="00F41F01" w:rsidRPr="00F41F01">
              <w:rPr>
                <w:color w:val="595959" w:themeColor="text1" w:themeTint="A6"/>
                <w:sz w:val="18"/>
                <w:szCs w:val="18"/>
              </w:rPr>
              <w:instrText xml:space="preserve"> PAGE   \* MERGEFORMAT </w:instrText>
            </w:r>
            <w:r w:rsidR="00F41F01" w:rsidRPr="00F41F01">
              <w:rPr>
                <w:color w:val="595959" w:themeColor="text1" w:themeTint="A6"/>
                <w:sz w:val="18"/>
                <w:szCs w:val="18"/>
              </w:rPr>
              <w:fldChar w:fldCharType="separate"/>
            </w:r>
            <w:r w:rsidR="00F41F01" w:rsidRPr="00F41F01">
              <w:rPr>
                <w:b/>
                <w:bCs/>
                <w:noProof/>
                <w:color w:val="595959" w:themeColor="text1" w:themeTint="A6"/>
                <w:sz w:val="18"/>
                <w:szCs w:val="18"/>
              </w:rPr>
              <w:t>1</w:t>
            </w:r>
            <w:r w:rsidR="00F41F01" w:rsidRPr="00F41F01">
              <w:rPr>
                <w:b/>
                <w:bCs/>
                <w:noProof/>
                <w:color w:val="595959" w:themeColor="text1" w:themeTint="A6"/>
                <w:sz w:val="18"/>
                <w:szCs w:val="18"/>
              </w:rPr>
              <w:fldChar w:fldCharType="end"/>
            </w:r>
          </w:p>
        </w:sdtContent>
      </w:sdt>
    </w:sdtContent>
  </w:sdt>
  <w:p w14:paraId="3E996A3E" w14:textId="77777777" w:rsidR="00F427B8" w:rsidRDefault="00F42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2686" w14:textId="0E9AAFA2" w:rsidR="00004CEA" w:rsidRDefault="00004CEA" w:rsidP="00004CEA">
    <w:pPr>
      <w:pStyle w:val="Footer"/>
      <w:jc w:val="right"/>
      <w:rPr>
        <w:b/>
        <w:bCs/>
        <w:noProof/>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r>
      <w:rPr>
        <w:b/>
        <w:bCs/>
        <w:noProof/>
      </w:rPr>
      <w:t xml:space="preserve"> </w:t>
    </w:r>
  </w:p>
  <w:p w14:paraId="38FDC8EF" w14:textId="65102BAB" w:rsidR="006A1DA6" w:rsidRDefault="00796311" w:rsidP="00004CEA">
    <w:pPr>
      <w:pStyle w:val="Footer"/>
      <w:jc w:val="right"/>
    </w:pPr>
    <w:r>
      <w:rPr>
        <w:noProof/>
      </w:rPr>
      <w:drawing>
        <wp:anchor distT="0" distB="0" distL="114300" distR="114300" simplePos="0" relativeHeight="251659264" behindDoc="0" locked="0" layoutInCell="1" allowOverlap="1" wp14:anchorId="0A35187D" wp14:editId="31F92AEF">
          <wp:simplePos x="0" y="0"/>
          <wp:positionH relativeFrom="column">
            <wp:posOffset>-1106740</wp:posOffset>
          </wp:positionH>
          <wp:positionV relativeFrom="paragraph">
            <wp:posOffset>100330</wp:posOffset>
          </wp:positionV>
          <wp:extent cx="7827264" cy="1508760"/>
          <wp:effectExtent l="0" t="0" r="0"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827264" cy="150876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62CB" w14:textId="77777777" w:rsidR="001E25E3" w:rsidRDefault="000D6E68">
    <w:pPr>
      <w:pStyle w:val="Footer"/>
    </w:pPr>
    <w:r>
      <w:rPr>
        <w:noProof/>
      </w:rPr>
      <w:drawing>
        <wp:anchor distT="0" distB="0" distL="114300" distR="114300" simplePos="0" relativeHeight="251661312" behindDoc="0" locked="0" layoutInCell="1" allowOverlap="1" wp14:anchorId="599E40FB" wp14:editId="272FD0F3">
          <wp:simplePos x="0" y="0"/>
          <wp:positionH relativeFrom="column">
            <wp:posOffset>-1123950</wp:posOffset>
          </wp:positionH>
          <wp:positionV relativeFrom="paragraph">
            <wp:posOffset>267005</wp:posOffset>
          </wp:positionV>
          <wp:extent cx="7827264" cy="1508760"/>
          <wp:effectExtent l="0" t="0" r="0" b="254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827264" cy="1508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27DA3" w14:textId="77777777" w:rsidR="00B946E3" w:rsidRDefault="00B946E3">
      <w:r>
        <w:separator/>
      </w:r>
    </w:p>
  </w:footnote>
  <w:footnote w:type="continuationSeparator" w:id="0">
    <w:p w14:paraId="7256A0A6" w14:textId="77777777" w:rsidR="00B946E3" w:rsidRDefault="00B946E3">
      <w:r>
        <w:continuationSeparator/>
      </w:r>
    </w:p>
  </w:footnote>
  <w:footnote w:id="1">
    <w:p w14:paraId="6C12D3D2" w14:textId="524599D5" w:rsidR="001C7F0A" w:rsidRDefault="001C7F0A">
      <w:pPr>
        <w:pStyle w:val="FootnoteText"/>
      </w:pPr>
      <w:r>
        <w:rPr>
          <w:rStyle w:val="FootnoteReference"/>
        </w:rPr>
        <w:footnoteRef/>
      </w:r>
      <w:r>
        <w:t xml:space="preserve"> Au 31 mars 2022, source : Outil de requête automatisé sur la gestion de l’information des personnes (ORAGIP), Secrétariat du Conseil du Trésor du Canada</w:t>
      </w:r>
    </w:p>
  </w:footnote>
  <w:footnote w:id="2">
    <w:p w14:paraId="40846FC7" w14:textId="44D7EC76" w:rsidR="001C7F0A" w:rsidRDefault="001C7F0A">
      <w:pPr>
        <w:pStyle w:val="FootnoteText"/>
      </w:pPr>
      <w:r>
        <w:rPr>
          <w:rStyle w:val="FootnoteReference"/>
        </w:rPr>
        <w:footnoteRef/>
      </w:r>
      <w:r>
        <w:t xml:space="preserve"> Au 31 mars 2022, source : Outil de requête automatisé sur la gestion de l’information des personnes (ORAGIP), Secrétariat du Conseil du Trésor du Canada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6B7A" w14:textId="77777777" w:rsidR="001E25E3" w:rsidRDefault="00BE4C96">
    <w:pPr>
      <w:pStyle w:val="Header"/>
    </w:pPr>
    <w:r>
      <w:rPr>
        <w:noProof/>
      </w:rPr>
      <w:drawing>
        <wp:inline distT="0" distB="0" distL="0" distR="0" wp14:anchorId="3EF0DD27" wp14:editId="39610233">
          <wp:extent cx="1028700" cy="9271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1028700" cy="927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D14"/>
    <w:multiLevelType w:val="hybridMultilevel"/>
    <w:tmpl w:val="3BE887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CD5C6F"/>
    <w:multiLevelType w:val="hybridMultilevel"/>
    <w:tmpl w:val="A64068C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1D625E3F"/>
    <w:multiLevelType w:val="hybridMultilevel"/>
    <w:tmpl w:val="A83CA9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05B6F7A"/>
    <w:multiLevelType w:val="hybridMultilevel"/>
    <w:tmpl w:val="F0D4A882"/>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4" w15:restartNumberingAfterBreak="0">
    <w:nsid w:val="32F93FD8"/>
    <w:multiLevelType w:val="hybridMultilevel"/>
    <w:tmpl w:val="FAF095E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33266823"/>
    <w:multiLevelType w:val="hybridMultilevel"/>
    <w:tmpl w:val="85E64B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8944B02"/>
    <w:multiLevelType w:val="hybridMultilevel"/>
    <w:tmpl w:val="655AC20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9BE773E"/>
    <w:multiLevelType w:val="hybridMultilevel"/>
    <w:tmpl w:val="7B5E2450"/>
    <w:lvl w:ilvl="0" w:tplc="0C0C0001">
      <w:start w:val="1"/>
      <w:numFmt w:val="bullet"/>
      <w:lvlText w:val=""/>
      <w:lvlJc w:val="left"/>
      <w:pPr>
        <w:ind w:left="360" w:hanging="360"/>
      </w:pPr>
      <w:rPr>
        <w:rFonts w:ascii="Symbol" w:hAnsi="Symbol" w:hint="default"/>
      </w:rPr>
    </w:lvl>
    <w:lvl w:ilvl="1" w:tplc="44D2C31C">
      <w:numFmt w:val="bullet"/>
      <w:lvlText w:val="·"/>
      <w:lvlJc w:val="left"/>
      <w:pPr>
        <w:ind w:left="1080" w:hanging="360"/>
      </w:pPr>
      <w:rPr>
        <w:rFonts w:ascii="Segoe UI" w:eastAsiaTheme="minorHAnsi" w:hAnsi="Segoe UI" w:cs="Segoe UI"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3C5C55CA"/>
    <w:multiLevelType w:val="hybridMultilevel"/>
    <w:tmpl w:val="3EBE56F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6DE03E7"/>
    <w:multiLevelType w:val="hybridMultilevel"/>
    <w:tmpl w:val="D9449E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7A11EBC"/>
    <w:multiLevelType w:val="hybridMultilevel"/>
    <w:tmpl w:val="46B28382"/>
    <w:lvl w:ilvl="0" w:tplc="0C0C0003">
      <w:start w:val="1"/>
      <w:numFmt w:val="bullet"/>
      <w:lvlText w:val="o"/>
      <w:lvlJc w:val="left"/>
      <w:pPr>
        <w:ind w:left="1428" w:hanging="360"/>
      </w:pPr>
      <w:rPr>
        <w:rFonts w:ascii="Courier New" w:hAnsi="Courier New" w:cs="Courier New" w:hint="default"/>
      </w:rPr>
    </w:lvl>
    <w:lvl w:ilvl="1" w:tplc="0C0C0003">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1" w15:restartNumberingAfterBreak="0">
    <w:nsid w:val="4B6B7E1A"/>
    <w:multiLevelType w:val="hybridMultilevel"/>
    <w:tmpl w:val="F92A791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4FE00E4E"/>
    <w:multiLevelType w:val="hybridMultilevel"/>
    <w:tmpl w:val="7A5E02E2"/>
    <w:lvl w:ilvl="0" w:tplc="0C0C0003">
      <w:start w:val="1"/>
      <w:numFmt w:val="bullet"/>
      <w:lvlText w:val="o"/>
      <w:lvlJc w:val="left"/>
      <w:pPr>
        <w:ind w:left="1440" w:hanging="360"/>
      </w:pPr>
      <w:rPr>
        <w:rFonts w:ascii="Courier New" w:hAnsi="Courier New" w:cs="Courier New"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3" w15:restartNumberingAfterBreak="0">
    <w:nsid w:val="4FF078B2"/>
    <w:multiLevelType w:val="hybridMultilevel"/>
    <w:tmpl w:val="346EDE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6082B3F"/>
    <w:multiLevelType w:val="hybridMultilevel"/>
    <w:tmpl w:val="950A04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6CA5DEA"/>
    <w:multiLevelType w:val="hybridMultilevel"/>
    <w:tmpl w:val="2F564B7A"/>
    <w:lvl w:ilvl="0" w:tplc="0409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C213069"/>
    <w:multiLevelType w:val="hybridMultilevel"/>
    <w:tmpl w:val="EC10D6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3F45E9A"/>
    <w:multiLevelType w:val="hybridMultilevel"/>
    <w:tmpl w:val="2DCA127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74566AAD"/>
    <w:multiLevelType w:val="hybridMultilevel"/>
    <w:tmpl w:val="6B1EE4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5C5FD6"/>
    <w:multiLevelType w:val="hybridMultilevel"/>
    <w:tmpl w:val="A552DFB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7BAA725B"/>
    <w:multiLevelType w:val="hybridMultilevel"/>
    <w:tmpl w:val="77DA8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E600BDB"/>
    <w:multiLevelType w:val="hybridMultilevel"/>
    <w:tmpl w:val="E2D6DE6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7F7E66CF"/>
    <w:multiLevelType w:val="hybridMultilevel"/>
    <w:tmpl w:val="DCF2DD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350959031">
    <w:abstractNumId w:val="4"/>
  </w:num>
  <w:num w:numId="2" w16cid:durableId="1471358391">
    <w:abstractNumId w:val="11"/>
  </w:num>
  <w:num w:numId="3" w16cid:durableId="946692536">
    <w:abstractNumId w:val="20"/>
  </w:num>
  <w:num w:numId="4" w16cid:durableId="1389955676">
    <w:abstractNumId w:val="9"/>
  </w:num>
  <w:num w:numId="5" w16cid:durableId="644162790">
    <w:abstractNumId w:val="5"/>
  </w:num>
  <w:num w:numId="6" w16cid:durableId="1009790655">
    <w:abstractNumId w:val="8"/>
  </w:num>
  <w:num w:numId="7" w16cid:durableId="1871070934">
    <w:abstractNumId w:val="10"/>
  </w:num>
  <w:num w:numId="8" w16cid:durableId="592012252">
    <w:abstractNumId w:val="3"/>
  </w:num>
  <w:num w:numId="9" w16cid:durableId="1688410063">
    <w:abstractNumId w:val="12"/>
  </w:num>
  <w:num w:numId="10" w16cid:durableId="1256092989">
    <w:abstractNumId w:val="17"/>
  </w:num>
  <w:num w:numId="11" w16cid:durableId="1055929230">
    <w:abstractNumId w:val="21"/>
  </w:num>
  <w:num w:numId="12" w16cid:durableId="1765883888">
    <w:abstractNumId w:val="1"/>
  </w:num>
  <w:num w:numId="13" w16cid:durableId="663717">
    <w:abstractNumId w:val="18"/>
  </w:num>
  <w:num w:numId="14" w16cid:durableId="1369453202">
    <w:abstractNumId w:val="15"/>
  </w:num>
  <w:num w:numId="15" w16cid:durableId="786235397">
    <w:abstractNumId w:val="6"/>
  </w:num>
  <w:num w:numId="16" w16cid:durableId="1684284117">
    <w:abstractNumId w:val="16"/>
  </w:num>
  <w:num w:numId="17" w16cid:durableId="1066562726">
    <w:abstractNumId w:val="22"/>
  </w:num>
  <w:num w:numId="18" w16cid:durableId="707024125">
    <w:abstractNumId w:val="0"/>
  </w:num>
  <w:num w:numId="19" w16cid:durableId="2066447731">
    <w:abstractNumId w:val="2"/>
  </w:num>
  <w:num w:numId="20" w16cid:durableId="41832147">
    <w:abstractNumId w:val="0"/>
  </w:num>
  <w:num w:numId="21" w16cid:durableId="1032342289">
    <w:abstractNumId w:val="2"/>
  </w:num>
  <w:num w:numId="22" w16cid:durableId="507132903">
    <w:abstractNumId w:val="6"/>
  </w:num>
  <w:num w:numId="23" w16cid:durableId="1409376691">
    <w:abstractNumId w:val="13"/>
  </w:num>
  <w:num w:numId="24" w16cid:durableId="177814671">
    <w:abstractNumId w:val="19"/>
  </w:num>
  <w:num w:numId="25" w16cid:durableId="1834367690">
    <w:abstractNumId w:val="7"/>
  </w:num>
  <w:num w:numId="26" w16cid:durableId="2164057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9D"/>
    <w:rsid w:val="00004CEA"/>
    <w:rsid w:val="000107D2"/>
    <w:rsid w:val="000377AA"/>
    <w:rsid w:val="000453B5"/>
    <w:rsid w:val="00072E7C"/>
    <w:rsid w:val="0007705F"/>
    <w:rsid w:val="00082415"/>
    <w:rsid w:val="00084010"/>
    <w:rsid w:val="000C3D5A"/>
    <w:rsid w:val="000C47B7"/>
    <w:rsid w:val="000D6E68"/>
    <w:rsid w:val="000E1CE0"/>
    <w:rsid w:val="000E47B4"/>
    <w:rsid w:val="000E6D01"/>
    <w:rsid w:val="00101A92"/>
    <w:rsid w:val="001041BC"/>
    <w:rsid w:val="00152137"/>
    <w:rsid w:val="0017763D"/>
    <w:rsid w:val="001846B4"/>
    <w:rsid w:val="001937B5"/>
    <w:rsid w:val="001A4D87"/>
    <w:rsid w:val="001C2703"/>
    <w:rsid w:val="001C7CA9"/>
    <w:rsid w:val="001C7F0A"/>
    <w:rsid w:val="001D4D63"/>
    <w:rsid w:val="001D65C7"/>
    <w:rsid w:val="001E1BAA"/>
    <w:rsid w:val="001E25E3"/>
    <w:rsid w:val="001E41D1"/>
    <w:rsid w:val="001F22BE"/>
    <w:rsid w:val="001F4327"/>
    <w:rsid w:val="00202DC9"/>
    <w:rsid w:val="00210F69"/>
    <w:rsid w:val="00212113"/>
    <w:rsid w:val="0021561D"/>
    <w:rsid w:val="00216DA1"/>
    <w:rsid w:val="00222F4F"/>
    <w:rsid w:val="00250BB0"/>
    <w:rsid w:val="00262393"/>
    <w:rsid w:val="00264B33"/>
    <w:rsid w:val="00275423"/>
    <w:rsid w:val="002B3FE6"/>
    <w:rsid w:val="002D0CDB"/>
    <w:rsid w:val="002D1E99"/>
    <w:rsid w:val="002F358C"/>
    <w:rsid w:val="002F5C75"/>
    <w:rsid w:val="0030479B"/>
    <w:rsid w:val="00316958"/>
    <w:rsid w:val="00370BA9"/>
    <w:rsid w:val="003963B8"/>
    <w:rsid w:val="003A227E"/>
    <w:rsid w:val="003D10CA"/>
    <w:rsid w:val="003D1E53"/>
    <w:rsid w:val="003D7DAB"/>
    <w:rsid w:val="003F30A3"/>
    <w:rsid w:val="00437508"/>
    <w:rsid w:val="00451111"/>
    <w:rsid w:val="004538E3"/>
    <w:rsid w:val="0046552B"/>
    <w:rsid w:val="00471F86"/>
    <w:rsid w:val="00472728"/>
    <w:rsid w:val="00473AD2"/>
    <w:rsid w:val="0049083F"/>
    <w:rsid w:val="004A3039"/>
    <w:rsid w:val="004B7969"/>
    <w:rsid w:val="004C6B36"/>
    <w:rsid w:val="004D5525"/>
    <w:rsid w:val="004F0987"/>
    <w:rsid w:val="00506B4C"/>
    <w:rsid w:val="00520CEB"/>
    <w:rsid w:val="0053208C"/>
    <w:rsid w:val="00537741"/>
    <w:rsid w:val="0054672D"/>
    <w:rsid w:val="00571C28"/>
    <w:rsid w:val="0058103C"/>
    <w:rsid w:val="00581178"/>
    <w:rsid w:val="00584C60"/>
    <w:rsid w:val="00584E2A"/>
    <w:rsid w:val="00593FE8"/>
    <w:rsid w:val="005C4E1A"/>
    <w:rsid w:val="005D2216"/>
    <w:rsid w:val="005F550E"/>
    <w:rsid w:val="0061287E"/>
    <w:rsid w:val="006217FE"/>
    <w:rsid w:val="0065782C"/>
    <w:rsid w:val="00691020"/>
    <w:rsid w:val="00696D98"/>
    <w:rsid w:val="006A1DA6"/>
    <w:rsid w:val="006B53BA"/>
    <w:rsid w:val="006C4CCB"/>
    <w:rsid w:val="006D1BE6"/>
    <w:rsid w:val="006D6AFF"/>
    <w:rsid w:val="00727A97"/>
    <w:rsid w:val="0079112E"/>
    <w:rsid w:val="00796311"/>
    <w:rsid w:val="007A6AF7"/>
    <w:rsid w:val="007C41B5"/>
    <w:rsid w:val="007C690F"/>
    <w:rsid w:val="007C7A7B"/>
    <w:rsid w:val="007D2B99"/>
    <w:rsid w:val="007D597F"/>
    <w:rsid w:val="007E7A7E"/>
    <w:rsid w:val="00802DEC"/>
    <w:rsid w:val="00810835"/>
    <w:rsid w:val="00851F6C"/>
    <w:rsid w:val="00864197"/>
    <w:rsid w:val="00885CC3"/>
    <w:rsid w:val="008952C7"/>
    <w:rsid w:val="008969D8"/>
    <w:rsid w:val="008B299F"/>
    <w:rsid w:val="008B2CA2"/>
    <w:rsid w:val="008D67F9"/>
    <w:rsid w:val="008E0122"/>
    <w:rsid w:val="008E7CDE"/>
    <w:rsid w:val="008F075C"/>
    <w:rsid w:val="00904C43"/>
    <w:rsid w:val="009163A7"/>
    <w:rsid w:val="00923225"/>
    <w:rsid w:val="00940A05"/>
    <w:rsid w:val="00960E80"/>
    <w:rsid w:val="00962A2A"/>
    <w:rsid w:val="00964C62"/>
    <w:rsid w:val="009730A8"/>
    <w:rsid w:val="00995419"/>
    <w:rsid w:val="009B08AD"/>
    <w:rsid w:val="009B589D"/>
    <w:rsid w:val="009C3FB8"/>
    <w:rsid w:val="009C4806"/>
    <w:rsid w:val="009D0DED"/>
    <w:rsid w:val="009E03A1"/>
    <w:rsid w:val="009E6122"/>
    <w:rsid w:val="00A0317E"/>
    <w:rsid w:val="00A269E9"/>
    <w:rsid w:val="00A304CA"/>
    <w:rsid w:val="00A32571"/>
    <w:rsid w:val="00A368EF"/>
    <w:rsid w:val="00A65EC6"/>
    <w:rsid w:val="00AC37C6"/>
    <w:rsid w:val="00AE359D"/>
    <w:rsid w:val="00AE5603"/>
    <w:rsid w:val="00AF0D3F"/>
    <w:rsid w:val="00AF4732"/>
    <w:rsid w:val="00AF4743"/>
    <w:rsid w:val="00B03DFA"/>
    <w:rsid w:val="00B10ECE"/>
    <w:rsid w:val="00B13207"/>
    <w:rsid w:val="00B2226A"/>
    <w:rsid w:val="00B36944"/>
    <w:rsid w:val="00B57E87"/>
    <w:rsid w:val="00B6489B"/>
    <w:rsid w:val="00B87C66"/>
    <w:rsid w:val="00B946E3"/>
    <w:rsid w:val="00BA710C"/>
    <w:rsid w:val="00BB01CD"/>
    <w:rsid w:val="00BB3BFC"/>
    <w:rsid w:val="00BB63AB"/>
    <w:rsid w:val="00BB650F"/>
    <w:rsid w:val="00BE4C96"/>
    <w:rsid w:val="00BE5260"/>
    <w:rsid w:val="00C04EDE"/>
    <w:rsid w:val="00C14A02"/>
    <w:rsid w:val="00C43829"/>
    <w:rsid w:val="00C47199"/>
    <w:rsid w:val="00C56DF1"/>
    <w:rsid w:val="00C64DCB"/>
    <w:rsid w:val="00C71F97"/>
    <w:rsid w:val="00C81443"/>
    <w:rsid w:val="00C83FAF"/>
    <w:rsid w:val="00C8404C"/>
    <w:rsid w:val="00C85AF2"/>
    <w:rsid w:val="00C9035E"/>
    <w:rsid w:val="00CA651F"/>
    <w:rsid w:val="00CB0EA4"/>
    <w:rsid w:val="00CC6607"/>
    <w:rsid w:val="00CD076F"/>
    <w:rsid w:val="00CD77F2"/>
    <w:rsid w:val="00CF6149"/>
    <w:rsid w:val="00D07C7D"/>
    <w:rsid w:val="00D1611E"/>
    <w:rsid w:val="00D2269F"/>
    <w:rsid w:val="00D254C6"/>
    <w:rsid w:val="00D325BE"/>
    <w:rsid w:val="00D608DD"/>
    <w:rsid w:val="00D87DAF"/>
    <w:rsid w:val="00D90B42"/>
    <w:rsid w:val="00DB6353"/>
    <w:rsid w:val="00DC3CEB"/>
    <w:rsid w:val="00DD6280"/>
    <w:rsid w:val="00DD6FAB"/>
    <w:rsid w:val="00DE528D"/>
    <w:rsid w:val="00DF4995"/>
    <w:rsid w:val="00E03C07"/>
    <w:rsid w:val="00E042A0"/>
    <w:rsid w:val="00E11F14"/>
    <w:rsid w:val="00E2142F"/>
    <w:rsid w:val="00E263D4"/>
    <w:rsid w:val="00E37A21"/>
    <w:rsid w:val="00E5273C"/>
    <w:rsid w:val="00E57687"/>
    <w:rsid w:val="00E74309"/>
    <w:rsid w:val="00EC0728"/>
    <w:rsid w:val="00EC0A7D"/>
    <w:rsid w:val="00EE6A75"/>
    <w:rsid w:val="00F03877"/>
    <w:rsid w:val="00F27A0F"/>
    <w:rsid w:val="00F37E5E"/>
    <w:rsid w:val="00F41F01"/>
    <w:rsid w:val="00F421A4"/>
    <w:rsid w:val="00F427B8"/>
    <w:rsid w:val="00F517EA"/>
    <w:rsid w:val="00F54276"/>
    <w:rsid w:val="00F54FE5"/>
    <w:rsid w:val="00F57D77"/>
    <w:rsid w:val="00F65E31"/>
    <w:rsid w:val="00F73AE2"/>
    <w:rsid w:val="00F82B98"/>
    <w:rsid w:val="00FD4E6C"/>
    <w:rsid w:val="00FD4ECC"/>
    <w:rsid w:val="00FE7584"/>
    <w:rsid w:val="00FF125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B0FCCC2"/>
  <w15:chartTrackingRefBased/>
  <w15:docId w15:val="{6C8B4A21-63F8-438D-ADC1-18B2368B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imes New Roman" w:hAnsi="Open Sans" w:cs="Open Sans"/>
        <w:color w:val="0D0D0D" w:themeColor="text1" w:themeTint="F2"/>
        <w:kern w:val="28"/>
        <w:szCs w:val="24"/>
        <w:lang w:val="fr-CA" w:eastAsia="fr-CA"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41F01"/>
    <w:pPr>
      <w:keepNext/>
      <w:outlineLvl w:val="0"/>
    </w:pPr>
    <w:rPr>
      <w:rFonts w:ascii="Arial" w:hAnsi="Arial"/>
      <w:b/>
      <w:smallCaps/>
      <w:sz w:val="32"/>
      <w:szCs w:val="20"/>
    </w:rPr>
  </w:style>
  <w:style w:type="paragraph" w:styleId="Heading2">
    <w:name w:val="heading 2"/>
    <w:basedOn w:val="Normal"/>
    <w:next w:val="Normal"/>
    <w:link w:val="Heading2Char"/>
    <w:uiPriority w:val="9"/>
    <w:unhideWhenUsed/>
    <w:qFormat/>
    <w:rsid w:val="00F41F01"/>
    <w:pPr>
      <w:keepNext/>
      <w:keepLines/>
      <w:spacing w:before="40"/>
      <w:outlineLvl w:val="1"/>
    </w:pPr>
    <w:rPr>
      <w:rFonts w:ascii="Arial" w:eastAsiaTheme="majorEastAsia" w:hAnsi="Arial" w:cstheme="majorBidi"/>
      <w:b/>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Spacing">
    <w:name w:val="No Spacing"/>
    <w:uiPriority w:val="1"/>
    <w:qFormat/>
    <w:rsid w:val="00EE6A75"/>
    <w:rPr>
      <w:rFonts w:ascii="Calibri" w:eastAsia="Calibri" w:hAnsi="Calibri"/>
      <w:sz w:val="22"/>
      <w:szCs w:val="22"/>
      <w:lang w:val="en-US" w:eastAsia="en-US"/>
    </w:rPr>
  </w:style>
  <w:style w:type="character" w:customStyle="1" w:styleId="Heading1Char">
    <w:name w:val="Heading 1 Char"/>
    <w:link w:val="Heading1"/>
    <w:rsid w:val="00F41F01"/>
    <w:rPr>
      <w:rFonts w:ascii="Arial" w:hAnsi="Arial"/>
      <w:b/>
      <w:smallCaps/>
      <w:sz w:val="32"/>
      <w:szCs w:val="20"/>
    </w:rPr>
  </w:style>
  <w:style w:type="paragraph" w:styleId="BodyText">
    <w:name w:val="Body Text"/>
    <w:basedOn w:val="Normal"/>
    <w:link w:val="BodyTextChar"/>
    <w:rsid w:val="00AF0D3F"/>
    <w:pPr>
      <w:pBdr>
        <w:top w:val="single" w:sz="4" w:space="1" w:color="auto"/>
      </w:pBdr>
      <w:jc w:val="both"/>
    </w:pPr>
    <w:rPr>
      <w:szCs w:val="20"/>
    </w:rPr>
  </w:style>
  <w:style w:type="character" w:customStyle="1" w:styleId="BodyTextChar">
    <w:name w:val="Body Text Char"/>
    <w:link w:val="BodyText"/>
    <w:rsid w:val="00AF0D3F"/>
    <w:rPr>
      <w:sz w:val="24"/>
    </w:rPr>
  </w:style>
  <w:style w:type="paragraph" w:styleId="BodyText2">
    <w:name w:val="Body Text 2"/>
    <w:basedOn w:val="Normal"/>
    <w:link w:val="BodyText2Char"/>
    <w:rsid w:val="00AF0D3F"/>
    <w:pPr>
      <w:jc w:val="both"/>
    </w:pPr>
    <w:rPr>
      <w:szCs w:val="20"/>
    </w:rPr>
  </w:style>
  <w:style w:type="character" w:customStyle="1" w:styleId="BodyText2Char">
    <w:name w:val="Body Text 2 Char"/>
    <w:link w:val="BodyText2"/>
    <w:rsid w:val="00AF0D3F"/>
    <w:rPr>
      <w:sz w:val="24"/>
    </w:rPr>
  </w:style>
  <w:style w:type="paragraph" w:styleId="BalloonText">
    <w:name w:val="Balloon Text"/>
    <w:basedOn w:val="Normal"/>
    <w:link w:val="BalloonTextChar"/>
    <w:uiPriority w:val="99"/>
    <w:semiHidden/>
    <w:unhideWhenUsed/>
    <w:rsid w:val="00AF0D3F"/>
    <w:rPr>
      <w:rFonts w:ascii="Tahoma" w:hAnsi="Tahoma" w:cs="Tahoma"/>
      <w:sz w:val="16"/>
      <w:szCs w:val="16"/>
    </w:rPr>
  </w:style>
  <w:style w:type="character" w:customStyle="1" w:styleId="BalloonTextChar">
    <w:name w:val="Balloon Text Char"/>
    <w:link w:val="BalloonText"/>
    <w:uiPriority w:val="99"/>
    <w:semiHidden/>
    <w:rsid w:val="00AF0D3F"/>
    <w:rPr>
      <w:rFonts w:ascii="Tahoma" w:hAnsi="Tahoma" w:cs="Tahoma"/>
      <w:sz w:val="16"/>
      <w:szCs w:val="16"/>
    </w:rPr>
  </w:style>
  <w:style w:type="paragraph" w:styleId="ListParagraph">
    <w:name w:val="List Paragraph"/>
    <w:basedOn w:val="Normal"/>
    <w:uiPriority w:val="34"/>
    <w:qFormat/>
    <w:rsid w:val="00904C43"/>
    <w:pPr>
      <w:ind w:left="720"/>
      <w:contextualSpacing/>
    </w:pPr>
    <w:rPr>
      <w:rFonts w:ascii="Calibri" w:eastAsia="Calibri" w:hAnsi="Calibri"/>
      <w:sz w:val="22"/>
      <w:szCs w:val="22"/>
      <w:lang w:val="en-CA"/>
    </w:rPr>
  </w:style>
  <w:style w:type="table" w:styleId="TableGrid">
    <w:name w:val="Table Grid"/>
    <w:basedOn w:val="TableNormal"/>
    <w:uiPriority w:val="39"/>
    <w:rsid w:val="008D67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427B8"/>
    <w:rPr>
      <w:sz w:val="24"/>
      <w:szCs w:val="24"/>
      <w:lang w:val="en-US" w:eastAsia="en-US"/>
    </w:rPr>
  </w:style>
  <w:style w:type="paragraph" w:styleId="FootnoteText">
    <w:name w:val="footnote text"/>
    <w:basedOn w:val="Normal"/>
    <w:link w:val="FootnoteTextChar"/>
    <w:uiPriority w:val="99"/>
    <w:semiHidden/>
    <w:unhideWhenUsed/>
    <w:rsid w:val="004B7969"/>
    <w:rPr>
      <w:rFonts w:ascii="Calibri" w:eastAsiaTheme="minorHAnsi" w:hAnsi="Calibri" w:cs="Calibri"/>
      <w:color w:val="auto"/>
      <w:kern w:val="0"/>
      <w:szCs w:val="20"/>
      <w14:ligatures w14:val="none"/>
    </w:rPr>
  </w:style>
  <w:style w:type="character" w:customStyle="1" w:styleId="FootnoteTextChar">
    <w:name w:val="Footnote Text Char"/>
    <w:basedOn w:val="DefaultParagraphFont"/>
    <w:link w:val="FootnoteText"/>
    <w:uiPriority w:val="99"/>
    <w:semiHidden/>
    <w:rsid w:val="004B7969"/>
    <w:rPr>
      <w:rFonts w:ascii="Calibri" w:eastAsiaTheme="minorHAnsi" w:hAnsi="Calibri" w:cs="Calibri"/>
      <w:color w:val="auto"/>
      <w:kern w:val="0"/>
      <w:szCs w:val="20"/>
      <w14:ligatures w14:val="none"/>
    </w:rPr>
  </w:style>
  <w:style w:type="character" w:styleId="FootnoteReference">
    <w:name w:val="footnote reference"/>
    <w:basedOn w:val="DefaultParagraphFont"/>
    <w:uiPriority w:val="99"/>
    <w:semiHidden/>
    <w:unhideWhenUsed/>
    <w:rsid w:val="004B7969"/>
    <w:rPr>
      <w:vertAlign w:val="superscript"/>
    </w:rPr>
  </w:style>
  <w:style w:type="paragraph" w:styleId="TOCHeading">
    <w:name w:val="TOC Heading"/>
    <w:basedOn w:val="Heading1"/>
    <w:next w:val="Normal"/>
    <w:uiPriority w:val="39"/>
    <w:unhideWhenUsed/>
    <w:qFormat/>
    <w:rsid w:val="00B2226A"/>
    <w:pPr>
      <w:keepLines/>
      <w:spacing w:before="240" w:line="259" w:lineRule="auto"/>
      <w:outlineLvl w:val="9"/>
    </w:pPr>
    <w:rPr>
      <w:rFonts w:asciiTheme="majorHAnsi" w:eastAsiaTheme="majorEastAsia" w:hAnsiTheme="majorHAnsi" w:cstheme="majorBidi"/>
      <w:b w:val="0"/>
      <w:smallCaps w:val="0"/>
      <w:color w:val="2F5496" w:themeColor="accent1" w:themeShade="BF"/>
      <w:kern w:val="0"/>
      <w:szCs w:val="32"/>
      <w:lang w:val="en-US" w:eastAsia="en-US"/>
      <w14:ligatures w14:val="none"/>
    </w:rPr>
  </w:style>
  <w:style w:type="character" w:customStyle="1" w:styleId="Heading2Char">
    <w:name w:val="Heading 2 Char"/>
    <w:basedOn w:val="DefaultParagraphFont"/>
    <w:link w:val="Heading2"/>
    <w:uiPriority w:val="9"/>
    <w:rsid w:val="00F41F01"/>
    <w:rPr>
      <w:rFonts w:ascii="Arial" w:eastAsiaTheme="majorEastAsia" w:hAnsi="Arial" w:cstheme="majorBidi"/>
      <w:b/>
      <w:color w:val="auto"/>
      <w:sz w:val="28"/>
      <w:szCs w:val="26"/>
    </w:rPr>
  </w:style>
  <w:style w:type="paragraph" w:styleId="TOC1">
    <w:name w:val="toc 1"/>
    <w:basedOn w:val="Normal"/>
    <w:next w:val="Normal"/>
    <w:autoRedefine/>
    <w:uiPriority w:val="39"/>
    <w:unhideWhenUsed/>
    <w:rsid w:val="00F41F01"/>
    <w:pPr>
      <w:spacing w:after="100"/>
    </w:pPr>
  </w:style>
  <w:style w:type="paragraph" w:styleId="TOC2">
    <w:name w:val="toc 2"/>
    <w:basedOn w:val="Normal"/>
    <w:next w:val="Normal"/>
    <w:autoRedefine/>
    <w:uiPriority w:val="39"/>
    <w:unhideWhenUsed/>
    <w:rsid w:val="00F41F01"/>
    <w:pPr>
      <w:spacing w:after="100"/>
      <w:ind w:left="200"/>
    </w:pPr>
  </w:style>
  <w:style w:type="character" w:styleId="Hyperlink">
    <w:name w:val="Hyperlink"/>
    <w:basedOn w:val="DefaultParagraphFont"/>
    <w:uiPriority w:val="99"/>
    <w:unhideWhenUsed/>
    <w:rsid w:val="00F41F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222">
      <w:bodyDiv w:val="1"/>
      <w:marLeft w:val="0"/>
      <w:marRight w:val="0"/>
      <w:marTop w:val="0"/>
      <w:marBottom w:val="0"/>
      <w:divBdr>
        <w:top w:val="none" w:sz="0" w:space="0" w:color="auto"/>
        <w:left w:val="none" w:sz="0" w:space="0" w:color="auto"/>
        <w:bottom w:val="none" w:sz="0" w:space="0" w:color="auto"/>
        <w:right w:val="none" w:sz="0" w:space="0" w:color="auto"/>
      </w:divBdr>
    </w:div>
    <w:div w:id="431167474">
      <w:bodyDiv w:val="1"/>
      <w:marLeft w:val="0"/>
      <w:marRight w:val="0"/>
      <w:marTop w:val="0"/>
      <w:marBottom w:val="0"/>
      <w:divBdr>
        <w:top w:val="none" w:sz="0" w:space="0" w:color="auto"/>
        <w:left w:val="none" w:sz="0" w:space="0" w:color="auto"/>
        <w:bottom w:val="none" w:sz="0" w:space="0" w:color="auto"/>
        <w:right w:val="none" w:sz="0" w:space="0" w:color="auto"/>
      </w:divBdr>
    </w:div>
    <w:div w:id="999576455">
      <w:bodyDiv w:val="1"/>
      <w:marLeft w:val="0"/>
      <w:marRight w:val="0"/>
      <w:marTop w:val="0"/>
      <w:marBottom w:val="0"/>
      <w:divBdr>
        <w:top w:val="none" w:sz="0" w:space="0" w:color="auto"/>
        <w:left w:val="none" w:sz="0" w:space="0" w:color="auto"/>
        <w:bottom w:val="none" w:sz="0" w:space="0" w:color="auto"/>
        <w:right w:val="none" w:sz="0" w:space="0" w:color="auto"/>
      </w:divBdr>
    </w:div>
    <w:div w:id="1499350029">
      <w:bodyDiv w:val="1"/>
      <w:marLeft w:val="0"/>
      <w:marRight w:val="0"/>
      <w:marTop w:val="0"/>
      <w:marBottom w:val="0"/>
      <w:divBdr>
        <w:top w:val="none" w:sz="0" w:space="0" w:color="auto"/>
        <w:left w:val="none" w:sz="0" w:space="0" w:color="auto"/>
        <w:bottom w:val="none" w:sz="0" w:space="0" w:color="auto"/>
        <w:right w:val="none" w:sz="0" w:space="0" w:color="auto"/>
      </w:divBdr>
    </w:div>
    <w:div w:id="1601258844">
      <w:bodyDiv w:val="1"/>
      <w:marLeft w:val="0"/>
      <w:marRight w:val="0"/>
      <w:marTop w:val="0"/>
      <w:marBottom w:val="0"/>
      <w:divBdr>
        <w:top w:val="none" w:sz="0" w:space="0" w:color="auto"/>
        <w:left w:val="none" w:sz="0" w:space="0" w:color="auto"/>
        <w:bottom w:val="none" w:sz="0" w:space="0" w:color="auto"/>
        <w:right w:val="none" w:sz="0" w:space="0" w:color="auto"/>
      </w:divBdr>
    </w:div>
    <w:div w:id="188521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arag\AppData\Local\Microsoft\Windows\INetCache\Content.Outlook\6T9R735I\APEXLetterhead_MultipalePages_25-03-2021%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A80D0-E76A-409F-A58D-353129531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APEXLetterhead_MultipalePages_25-03-2021 (002)</Template>
  <TotalTime>41</TotalTime>
  <Pages>13</Pages>
  <Words>2916</Words>
  <Characters>16943</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apex</Company>
  <LinksUpToDate>false</LinksUpToDate>
  <CharactersWithSpaces>19820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Guttman</dc:creator>
  <cp:keywords/>
  <dc:description/>
  <cp:lastModifiedBy>Josée Lafontaine (she/her/elle)</cp:lastModifiedBy>
  <cp:revision>20</cp:revision>
  <cp:lastPrinted>2023-02-17T14:07:00Z</cp:lastPrinted>
  <dcterms:created xsi:type="dcterms:W3CDTF">2023-02-17T12:52:00Z</dcterms:created>
  <dcterms:modified xsi:type="dcterms:W3CDTF">2023-02-17T14:08:00Z</dcterms:modified>
</cp:coreProperties>
</file>